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Theme="majorEastAsia" w:hAnsiTheme="majorEastAsia" w:eastAsiaTheme="majorEastAsia" w:cstheme="majorEastAsia"/>
          <w:b/>
          <w:color w:val="auto"/>
          <w:sz w:val="28"/>
          <w:szCs w:val="28"/>
          <w:highlight w:val="none"/>
        </w:rPr>
      </w:pPr>
      <w:bookmarkStart w:id="12" w:name="_GoBack"/>
      <w:bookmarkEnd w:id="12"/>
      <w:bookmarkStart w:id="0" w:name="_Toc26627"/>
      <w:r>
        <w:rPr>
          <w:rFonts w:hint="eastAsia" w:asciiTheme="majorEastAsia" w:hAnsiTheme="majorEastAsia" w:eastAsiaTheme="majorEastAsia" w:cstheme="majorEastAsia"/>
          <w:b/>
          <w:bCs/>
          <w:color w:val="auto"/>
          <w:sz w:val="28"/>
          <w:szCs w:val="28"/>
          <w:highlight w:val="none"/>
        </w:rPr>
        <w:t xml:space="preserve">                 </w:t>
      </w:r>
      <w:r>
        <w:rPr>
          <w:rFonts w:hint="eastAsia" w:asciiTheme="majorEastAsia" w:hAnsiTheme="majorEastAsia" w:eastAsiaTheme="majorEastAsia" w:cstheme="majorEastAsia"/>
          <w:b/>
          <w:color w:val="auto"/>
          <w:sz w:val="28"/>
          <w:szCs w:val="28"/>
          <w:highlight w:val="none"/>
        </w:rPr>
        <w:t>本文件已经我单位审核，请按此文件发布!</w:t>
      </w:r>
    </w:p>
    <w:p>
      <w:pPr>
        <w:spacing w:line="360" w:lineRule="auto"/>
        <w:ind w:firstLine="3253" w:firstLineChars="1543"/>
        <w:rPr>
          <w:rFonts w:ascii="宋体" w:hAnsi="宋体" w:cs="宋体"/>
          <w:b/>
          <w:bCs/>
          <w:color w:val="auto"/>
          <w:sz w:val="28"/>
          <w:szCs w:val="28"/>
          <w:highlight w:val="none"/>
        </w:rPr>
      </w:pPr>
      <w:r>
        <w:rPr>
          <w:rFonts w:hint="eastAsia" w:asciiTheme="majorEastAsia" w:hAnsiTheme="majorEastAsia" w:eastAsiaTheme="majorEastAsia" w:cstheme="majorEastAsia"/>
          <w:b/>
          <w:color w:val="auto"/>
          <w:highlight w:val="none"/>
        </w:rPr>
        <w:t xml:space="preserve">          </w:t>
      </w:r>
      <w:r>
        <w:rPr>
          <w:rFonts w:hint="eastAsia" w:ascii="宋体" w:hAnsi="宋体" w:cs="宋体"/>
          <w:b/>
          <w:bCs/>
          <w:color w:val="auto"/>
          <w:sz w:val="28"/>
          <w:szCs w:val="28"/>
          <w:highlight w:val="none"/>
        </w:rPr>
        <w:t>主管部门盖章：</w:t>
      </w:r>
    </w:p>
    <w:p>
      <w:pPr>
        <w:spacing w:line="360" w:lineRule="auto"/>
        <w:ind w:firstLine="4337" w:firstLineChars="1543"/>
        <w:rPr>
          <w:rFonts w:ascii="宋体" w:hAnsi="宋体" w:cs="宋体"/>
          <w:b/>
          <w:bCs/>
          <w:color w:val="auto"/>
          <w:sz w:val="28"/>
          <w:szCs w:val="28"/>
          <w:highlight w:val="none"/>
          <w:u w:val="single"/>
        </w:rPr>
      </w:pPr>
      <w:r>
        <w:rPr>
          <w:rFonts w:hint="eastAsia" w:ascii="宋体" w:hAnsi="宋体" w:cs="宋体"/>
          <w:b/>
          <w:bCs/>
          <w:color w:val="auto"/>
          <w:sz w:val="28"/>
          <w:szCs w:val="28"/>
          <w:highlight w:val="none"/>
        </w:rPr>
        <w:t>监管部门盖章：</w:t>
      </w:r>
    </w:p>
    <w:p>
      <w:pPr>
        <w:wordWrap w:val="0"/>
        <w:adjustRightInd w:val="0"/>
        <w:ind w:right="600"/>
        <w:rPr>
          <w:rFonts w:asciiTheme="majorEastAsia" w:hAnsiTheme="majorEastAsia" w:eastAsiaTheme="majorEastAsia" w:cstheme="majorEastAsia"/>
          <w:b/>
          <w:color w:val="auto"/>
          <w:sz w:val="72"/>
          <w:szCs w:val="72"/>
          <w:highlight w:val="none"/>
        </w:rPr>
      </w:pPr>
      <w:r>
        <w:rPr>
          <w:rFonts w:hint="eastAsia" w:asciiTheme="majorEastAsia" w:hAnsiTheme="majorEastAsia" w:eastAsiaTheme="majorEastAsia" w:cstheme="majorEastAsia"/>
          <w:b/>
          <w:bCs/>
          <w:color w:val="auto"/>
          <w:sz w:val="28"/>
          <w:szCs w:val="28"/>
          <w:highlight w:val="none"/>
        </w:rPr>
        <w:t xml:space="preserve">                  </w:t>
      </w:r>
      <w:r>
        <w:rPr>
          <w:rFonts w:hint="eastAsia" w:asciiTheme="majorEastAsia" w:hAnsiTheme="majorEastAsia" w:eastAsiaTheme="majorEastAsia" w:cstheme="majorEastAsia"/>
          <w:b/>
          <w:color w:val="auto"/>
          <w:sz w:val="28"/>
          <w:szCs w:val="28"/>
          <w:highlight w:val="none"/>
        </w:rPr>
        <w:t xml:space="preserve">                   </w:t>
      </w:r>
      <w:r>
        <w:rPr>
          <w:rFonts w:hint="eastAsia" w:asciiTheme="majorEastAsia" w:hAnsiTheme="majorEastAsia" w:eastAsiaTheme="majorEastAsia" w:cstheme="majorEastAsia"/>
          <w:b/>
          <w:color w:val="auto"/>
          <w:sz w:val="28"/>
          <w:highlight w:val="none"/>
        </w:rPr>
        <w:t xml:space="preserve">   </w:t>
      </w:r>
      <w:r>
        <w:rPr>
          <w:rFonts w:hint="eastAsia" w:asciiTheme="majorEastAsia" w:hAnsiTheme="majorEastAsia" w:eastAsiaTheme="majorEastAsia" w:cstheme="majorEastAsia"/>
          <w:b/>
          <w:color w:val="auto"/>
          <w:highlight w:val="none"/>
        </w:rPr>
        <w:t xml:space="preserve">                 </w:t>
      </w:r>
    </w:p>
    <w:p>
      <w:pPr>
        <w:spacing w:line="360" w:lineRule="auto"/>
        <w:ind w:firstLine="708" w:firstLineChars="98"/>
        <w:rPr>
          <w:rFonts w:asciiTheme="majorEastAsia" w:hAnsiTheme="majorEastAsia" w:eastAsiaTheme="majorEastAsia" w:cstheme="majorEastAsia"/>
          <w:b/>
          <w:color w:val="auto"/>
          <w:sz w:val="72"/>
          <w:szCs w:val="72"/>
          <w:highlight w:val="none"/>
        </w:rPr>
      </w:pPr>
    </w:p>
    <w:p>
      <w:pPr>
        <w:spacing w:line="264" w:lineRule="auto"/>
        <w:rPr>
          <w:rFonts w:asciiTheme="majorEastAsia" w:hAnsiTheme="majorEastAsia" w:eastAsiaTheme="majorEastAsia" w:cstheme="majorEastAsia"/>
          <w:b/>
          <w:color w:val="auto"/>
          <w:sz w:val="84"/>
          <w:szCs w:val="84"/>
          <w:highlight w:val="none"/>
        </w:rPr>
      </w:pPr>
      <w:r>
        <w:rPr>
          <w:rFonts w:hint="eastAsia" w:asciiTheme="majorEastAsia" w:hAnsiTheme="majorEastAsia" w:eastAsiaTheme="majorEastAsia" w:cstheme="majorEastAsia"/>
          <w:b/>
          <w:color w:val="auto"/>
          <w:sz w:val="72"/>
          <w:szCs w:val="72"/>
          <w:highlight w:val="none"/>
        </w:rPr>
        <w:t xml:space="preserve">      公开招标文件</w:t>
      </w:r>
    </w:p>
    <w:p>
      <w:pPr>
        <w:tabs>
          <w:tab w:val="left" w:pos="4008"/>
        </w:tabs>
        <w:spacing w:line="264" w:lineRule="auto"/>
        <w:rPr>
          <w:rFonts w:hint="eastAsia" w:asciiTheme="majorEastAsia" w:hAnsiTheme="majorEastAsia" w:eastAsiaTheme="majorEastAsia" w:cstheme="majorEastAsia"/>
          <w:color w:val="auto"/>
          <w:highlight w:val="none"/>
          <w:lang w:val="en-US" w:eastAsia="zh-CN"/>
        </w:rPr>
      </w:pPr>
      <w:r>
        <w:rPr>
          <w:rFonts w:hint="eastAsia" w:asciiTheme="majorEastAsia" w:hAnsiTheme="majorEastAsia" w:eastAsiaTheme="majorEastAsia" w:cstheme="majorEastAsia"/>
          <w:b/>
          <w:color w:val="auto"/>
          <w:sz w:val="32"/>
          <w:szCs w:val="32"/>
          <w:highlight w:val="none"/>
        </w:rPr>
        <w:t xml:space="preserve">                     </w:t>
      </w:r>
      <w:r>
        <w:rPr>
          <w:rFonts w:hint="eastAsia" w:asciiTheme="majorEastAsia" w:hAnsiTheme="majorEastAsia" w:eastAsiaTheme="majorEastAsia" w:cstheme="majorEastAsia"/>
          <w:b/>
          <w:color w:val="auto"/>
          <w:sz w:val="32"/>
          <w:szCs w:val="32"/>
          <w:highlight w:val="none"/>
          <w:lang w:val="en-US" w:eastAsia="zh-CN"/>
        </w:rPr>
        <w:t>(重新招标）</w:t>
      </w:r>
    </w:p>
    <w:p>
      <w:pPr>
        <w:pStyle w:val="20"/>
        <w:ind w:left="420" w:firstLine="480"/>
        <w:rPr>
          <w:rFonts w:asciiTheme="majorEastAsia" w:hAnsiTheme="majorEastAsia" w:eastAsiaTheme="majorEastAsia" w:cstheme="majorEastAsia"/>
          <w:color w:val="auto"/>
          <w:highlight w:val="none"/>
        </w:rPr>
      </w:pPr>
    </w:p>
    <w:p>
      <w:pPr>
        <w:pStyle w:val="20"/>
        <w:ind w:left="420" w:firstLine="480"/>
        <w:rPr>
          <w:rFonts w:asciiTheme="majorEastAsia" w:hAnsiTheme="majorEastAsia" w:eastAsiaTheme="majorEastAsia" w:cstheme="majorEastAsia"/>
          <w:color w:val="auto"/>
          <w:highlight w:val="none"/>
        </w:rPr>
      </w:pPr>
    </w:p>
    <w:p>
      <w:pPr>
        <w:pStyle w:val="20"/>
        <w:ind w:left="420" w:firstLine="480"/>
        <w:rPr>
          <w:rFonts w:asciiTheme="majorEastAsia" w:hAnsiTheme="majorEastAsia" w:eastAsiaTheme="majorEastAsia" w:cstheme="majorEastAsia"/>
          <w:color w:val="auto"/>
          <w:highlight w:val="none"/>
        </w:rPr>
      </w:pPr>
    </w:p>
    <w:p>
      <w:pPr>
        <w:pStyle w:val="20"/>
        <w:ind w:left="420" w:firstLine="480"/>
        <w:rPr>
          <w:rFonts w:asciiTheme="majorEastAsia" w:hAnsiTheme="majorEastAsia" w:eastAsiaTheme="majorEastAsia" w:cstheme="majorEastAsia"/>
          <w:color w:val="auto"/>
          <w:highlight w:val="none"/>
        </w:rPr>
      </w:pPr>
    </w:p>
    <w:p>
      <w:pPr>
        <w:tabs>
          <w:tab w:val="left" w:pos="4008"/>
        </w:tabs>
        <w:spacing w:line="360" w:lineRule="auto"/>
        <w:ind w:firstLine="1606" w:firstLineChars="500"/>
        <w:rPr>
          <w:rFonts w:hint="eastAsia" w:asciiTheme="majorEastAsia" w:hAnsiTheme="majorEastAsia" w:eastAsiaTheme="majorEastAsia" w:cstheme="majorEastAsia"/>
          <w:b/>
          <w:color w:val="auto"/>
          <w:sz w:val="32"/>
          <w:szCs w:val="28"/>
          <w:highlight w:val="none"/>
          <w:lang w:eastAsia="zh-CN"/>
        </w:rPr>
      </w:pPr>
      <w:r>
        <w:rPr>
          <w:rFonts w:hint="eastAsia" w:asciiTheme="majorEastAsia" w:hAnsiTheme="majorEastAsia" w:eastAsiaTheme="majorEastAsia" w:cstheme="majorEastAsia"/>
          <w:b/>
          <w:color w:val="auto"/>
          <w:sz w:val="32"/>
          <w:szCs w:val="28"/>
          <w:highlight w:val="none"/>
          <w:lang w:eastAsia="zh-CN"/>
        </w:rPr>
        <w:t>项目编号</w:t>
      </w:r>
      <w:r>
        <w:rPr>
          <w:rFonts w:hint="eastAsia" w:asciiTheme="majorEastAsia" w:hAnsiTheme="majorEastAsia" w:eastAsiaTheme="majorEastAsia" w:cstheme="majorEastAsia"/>
          <w:b/>
          <w:color w:val="auto"/>
          <w:sz w:val="32"/>
          <w:szCs w:val="28"/>
          <w:highlight w:val="none"/>
        </w:rPr>
        <w:t>：</w:t>
      </w:r>
      <w:r>
        <w:rPr>
          <w:rFonts w:hint="eastAsia" w:asciiTheme="majorEastAsia" w:hAnsiTheme="majorEastAsia" w:eastAsiaTheme="majorEastAsia" w:cstheme="majorEastAsia"/>
          <w:b/>
          <w:color w:val="auto"/>
          <w:sz w:val="32"/>
          <w:szCs w:val="28"/>
          <w:highlight w:val="none"/>
          <w:lang w:eastAsia="zh-CN"/>
        </w:rPr>
        <w:t>PTXC20220317-1</w:t>
      </w:r>
    </w:p>
    <w:p>
      <w:pPr>
        <w:tabs>
          <w:tab w:val="left" w:pos="4008"/>
        </w:tabs>
        <w:spacing w:line="360" w:lineRule="auto"/>
        <w:ind w:left="3202" w:leftChars="760" w:hanging="1606" w:hangingChars="500"/>
        <w:rPr>
          <w:rFonts w:hint="eastAsia" w:asciiTheme="majorEastAsia" w:hAnsiTheme="majorEastAsia" w:eastAsiaTheme="majorEastAsia" w:cstheme="majorEastAsia"/>
          <w:b/>
          <w:color w:val="auto"/>
          <w:sz w:val="32"/>
          <w:szCs w:val="28"/>
          <w:highlight w:val="none"/>
          <w:lang w:eastAsia="zh-CN"/>
        </w:rPr>
      </w:pPr>
      <w:r>
        <w:rPr>
          <w:rFonts w:hint="eastAsia" w:asciiTheme="majorEastAsia" w:hAnsiTheme="majorEastAsia" w:eastAsiaTheme="majorEastAsia" w:cstheme="majorEastAsia"/>
          <w:b/>
          <w:color w:val="auto"/>
          <w:sz w:val="32"/>
          <w:szCs w:val="28"/>
          <w:highlight w:val="none"/>
        </w:rPr>
        <w:t>项目名称：</w:t>
      </w:r>
      <w:r>
        <w:rPr>
          <w:rFonts w:hint="eastAsia" w:asciiTheme="majorEastAsia" w:hAnsiTheme="majorEastAsia" w:eastAsiaTheme="majorEastAsia" w:cstheme="majorEastAsia"/>
          <w:b/>
          <w:bCs/>
          <w:color w:val="auto"/>
          <w:sz w:val="32"/>
          <w:szCs w:val="32"/>
          <w:highlight w:val="none"/>
          <w:lang w:eastAsia="zh-CN"/>
        </w:rPr>
        <w:t>南日岛东岱湾全塑胶养殖渔排及深水抗风浪网箱（南日岛东岱湾生态养殖网箱平台）</w:t>
      </w:r>
    </w:p>
    <w:p>
      <w:pPr>
        <w:tabs>
          <w:tab w:val="left" w:pos="4008"/>
        </w:tabs>
        <w:spacing w:line="360" w:lineRule="auto"/>
        <w:ind w:left="3202" w:leftChars="760" w:hanging="1606" w:hangingChars="500"/>
        <w:rPr>
          <w:rFonts w:asciiTheme="majorEastAsia" w:hAnsiTheme="majorEastAsia" w:eastAsiaTheme="majorEastAsia" w:cstheme="majorEastAsia"/>
          <w:b/>
          <w:color w:val="auto"/>
          <w:sz w:val="32"/>
          <w:szCs w:val="28"/>
          <w:highlight w:val="none"/>
        </w:rPr>
      </w:pPr>
    </w:p>
    <w:p>
      <w:pPr>
        <w:pStyle w:val="12"/>
        <w:ind w:firstLine="0" w:firstLineChars="0"/>
        <w:rPr>
          <w:rFonts w:asciiTheme="majorEastAsia" w:hAnsiTheme="majorEastAsia" w:eastAsiaTheme="majorEastAsia" w:cstheme="majorEastAsia"/>
          <w:color w:val="auto"/>
          <w:highlight w:val="none"/>
        </w:rPr>
      </w:pPr>
    </w:p>
    <w:p>
      <w:pPr>
        <w:pStyle w:val="50"/>
        <w:ind w:firstLine="0" w:firstLineChars="0"/>
        <w:rPr>
          <w:rFonts w:hint="eastAsia" w:asciiTheme="majorEastAsia" w:hAnsiTheme="majorEastAsia" w:eastAsiaTheme="majorEastAsia" w:cstheme="majorEastAsia"/>
          <w:color w:val="auto"/>
          <w:highlight w:val="none"/>
          <w:lang w:eastAsia="zh-CN"/>
        </w:rPr>
      </w:pPr>
    </w:p>
    <w:p>
      <w:pPr>
        <w:pStyle w:val="50"/>
        <w:ind w:firstLine="0" w:firstLineChars="0"/>
        <w:rPr>
          <w:rFonts w:hint="eastAsia" w:asciiTheme="majorEastAsia" w:hAnsiTheme="majorEastAsia" w:eastAsiaTheme="majorEastAsia" w:cstheme="majorEastAsia"/>
          <w:color w:val="auto"/>
          <w:highlight w:val="none"/>
          <w:lang w:eastAsia="zh-CN"/>
        </w:rPr>
      </w:pPr>
    </w:p>
    <w:p>
      <w:pPr>
        <w:pStyle w:val="50"/>
        <w:ind w:firstLine="0" w:firstLineChars="0"/>
        <w:rPr>
          <w:rFonts w:asciiTheme="majorEastAsia" w:hAnsiTheme="majorEastAsia" w:eastAsiaTheme="majorEastAsia" w:cstheme="majorEastAsia"/>
          <w:color w:val="auto"/>
          <w:highlight w:val="none"/>
        </w:rPr>
      </w:pPr>
    </w:p>
    <w:p>
      <w:pPr>
        <w:spacing w:line="360" w:lineRule="auto"/>
        <w:jc w:val="center"/>
        <w:rPr>
          <w:rFonts w:asciiTheme="majorEastAsia" w:hAnsiTheme="majorEastAsia" w:eastAsiaTheme="majorEastAsia" w:cstheme="majorEastAsia"/>
          <w:b/>
          <w:color w:val="auto"/>
          <w:sz w:val="32"/>
          <w:szCs w:val="32"/>
          <w:highlight w:val="none"/>
        </w:rPr>
      </w:pPr>
      <w:r>
        <w:rPr>
          <w:rFonts w:hint="eastAsia" w:asciiTheme="majorEastAsia" w:hAnsiTheme="majorEastAsia" w:eastAsiaTheme="majorEastAsia" w:cstheme="majorEastAsia"/>
          <w:b/>
          <w:color w:val="auto"/>
          <w:sz w:val="32"/>
          <w:szCs w:val="28"/>
          <w:highlight w:val="none"/>
        </w:rPr>
        <w:t xml:space="preserve"> 招标人：</w:t>
      </w:r>
      <w:r>
        <w:rPr>
          <w:rFonts w:hint="eastAsia" w:asciiTheme="majorEastAsia" w:hAnsiTheme="majorEastAsia" w:eastAsiaTheme="majorEastAsia" w:cstheme="majorEastAsia"/>
          <w:b/>
          <w:color w:val="auto"/>
          <w:sz w:val="32"/>
          <w:szCs w:val="28"/>
          <w:highlight w:val="none"/>
          <w:lang w:eastAsia="zh-CN"/>
        </w:rPr>
        <w:t>莆田市秀屿区滨海渔港建设开发有限公司</w:t>
      </w:r>
      <w:r>
        <w:rPr>
          <w:rFonts w:hint="eastAsia" w:asciiTheme="majorEastAsia" w:hAnsiTheme="majorEastAsia" w:eastAsiaTheme="majorEastAsia" w:cstheme="majorEastAsia"/>
          <w:b/>
          <w:color w:val="auto"/>
          <w:sz w:val="32"/>
          <w:szCs w:val="32"/>
          <w:highlight w:val="none"/>
        </w:rPr>
        <w:t>（盖章）</w:t>
      </w:r>
    </w:p>
    <w:p>
      <w:pPr>
        <w:spacing w:line="360" w:lineRule="auto"/>
        <w:jc w:val="center"/>
        <w:rPr>
          <w:rFonts w:asciiTheme="majorEastAsia" w:hAnsiTheme="majorEastAsia" w:eastAsiaTheme="majorEastAsia" w:cstheme="majorEastAsia"/>
          <w:b/>
          <w:color w:val="auto"/>
          <w:sz w:val="32"/>
          <w:szCs w:val="32"/>
          <w:highlight w:val="none"/>
        </w:rPr>
      </w:pPr>
      <w:r>
        <w:rPr>
          <w:rFonts w:hint="eastAsia" w:asciiTheme="majorEastAsia" w:hAnsiTheme="majorEastAsia" w:eastAsiaTheme="majorEastAsia" w:cstheme="majorEastAsia"/>
          <w:b/>
          <w:color w:val="auto"/>
          <w:sz w:val="32"/>
          <w:szCs w:val="28"/>
          <w:highlight w:val="none"/>
        </w:rPr>
        <w:t xml:space="preserve">    招标代理机构：莆田市信成造价咨询有限公司</w:t>
      </w:r>
      <w:r>
        <w:rPr>
          <w:rFonts w:hint="eastAsia" w:asciiTheme="majorEastAsia" w:hAnsiTheme="majorEastAsia" w:eastAsiaTheme="majorEastAsia" w:cstheme="majorEastAsia"/>
          <w:b/>
          <w:color w:val="auto"/>
          <w:sz w:val="32"/>
          <w:szCs w:val="32"/>
          <w:highlight w:val="none"/>
        </w:rPr>
        <w:t>（盖章）</w:t>
      </w:r>
    </w:p>
    <w:p>
      <w:pPr>
        <w:tabs>
          <w:tab w:val="left" w:pos="4008"/>
        </w:tabs>
        <w:spacing w:line="360" w:lineRule="auto"/>
        <w:ind w:firstLine="3534" w:firstLineChars="1100"/>
        <w:rPr>
          <w:rFonts w:asciiTheme="majorEastAsia" w:hAnsiTheme="majorEastAsia" w:eastAsiaTheme="majorEastAsia" w:cstheme="majorEastAsia"/>
          <w:b/>
          <w:color w:val="auto"/>
          <w:sz w:val="32"/>
          <w:szCs w:val="28"/>
          <w:highlight w:val="none"/>
        </w:rPr>
      </w:pPr>
      <w:r>
        <w:rPr>
          <w:rFonts w:hint="eastAsia" w:asciiTheme="majorEastAsia" w:hAnsiTheme="majorEastAsia" w:eastAsiaTheme="majorEastAsia" w:cstheme="majorEastAsia"/>
          <w:b/>
          <w:color w:val="auto"/>
          <w:sz w:val="32"/>
          <w:szCs w:val="28"/>
          <w:highlight w:val="none"/>
        </w:rPr>
        <w:t>二○二二年</w:t>
      </w:r>
      <w:r>
        <w:rPr>
          <w:rFonts w:hint="eastAsia" w:asciiTheme="majorEastAsia" w:hAnsiTheme="majorEastAsia" w:eastAsiaTheme="majorEastAsia" w:cstheme="majorEastAsia"/>
          <w:b/>
          <w:color w:val="auto"/>
          <w:sz w:val="32"/>
          <w:szCs w:val="28"/>
          <w:highlight w:val="none"/>
          <w:lang w:eastAsia="zh-CN"/>
        </w:rPr>
        <w:t>六</w:t>
      </w:r>
      <w:r>
        <w:rPr>
          <w:rFonts w:hint="eastAsia" w:asciiTheme="majorEastAsia" w:hAnsiTheme="majorEastAsia" w:eastAsiaTheme="majorEastAsia" w:cstheme="majorEastAsia"/>
          <w:b/>
          <w:color w:val="auto"/>
          <w:sz w:val="32"/>
          <w:szCs w:val="28"/>
          <w:highlight w:val="none"/>
        </w:rPr>
        <w:t xml:space="preserve">月 </w:t>
      </w:r>
    </w:p>
    <w:p>
      <w:pPr>
        <w:tabs>
          <w:tab w:val="left" w:pos="4008"/>
        </w:tabs>
        <w:spacing w:line="500" w:lineRule="exact"/>
        <w:rPr>
          <w:rFonts w:asciiTheme="majorEastAsia" w:hAnsiTheme="majorEastAsia" w:eastAsiaTheme="majorEastAsia" w:cstheme="majorEastAsia"/>
          <w:b/>
          <w:color w:val="auto"/>
          <w:sz w:val="32"/>
          <w:szCs w:val="32"/>
          <w:highlight w:val="none"/>
        </w:rPr>
      </w:pPr>
      <w:r>
        <w:rPr>
          <w:rFonts w:hint="eastAsia" w:asciiTheme="majorEastAsia" w:hAnsiTheme="majorEastAsia" w:eastAsiaTheme="majorEastAsia" w:cstheme="majorEastAsia"/>
          <w:b/>
          <w:color w:val="auto"/>
          <w:sz w:val="32"/>
          <w:szCs w:val="28"/>
          <w:highlight w:val="none"/>
        </w:rPr>
        <w:t xml:space="preserve">     </w:t>
      </w:r>
      <w:r>
        <w:rPr>
          <w:rFonts w:hint="eastAsia" w:asciiTheme="majorEastAsia" w:hAnsiTheme="majorEastAsia" w:eastAsiaTheme="majorEastAsia" w:cstheme="majorEastAsia"/>
          <w:b/>
          <w:color w:val="auto"/>
          <w:sz w:val="40"/>
          <w:szCs w:val="32"/>
          <w:highlight w:val="none"/>
        </w:rPr>
        <w:t xml:space="preserve">           </w:t>
      </w:r>
      <w:r>
        <w:rPr>
          <w:rFonts w:hint="eastAsia" w:asciiTheme="majorEastAsia" w:hAnsiTheme="majorEastAsia" w:eastAsiaTheme="majorEastAsia" w:cstheme="majorEastAsia"/>
          <w:b/>
          <w:color w:val="auto"/>
          <w:sz w:val="32"/>
          <w:szCs w:val="32"/>
          <w:highlight w:val="none"/>
        </w:rPr>
        <w:t xml:space="preserve"> 第一章 投标邀请</w:t>
      </w:r>
    </w:p>
    <w:p>
      <w:pPr>
        <w:pStyle w:val="18"/>
        <w:widowControl/>
        <w:spacing w:line="400" w:lineRule="exact"/>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u w:val="single"/>
        </w:rPr>
        <w:t xml:space="preserve">莆田市信成造价咨询有限公司 </w:t>
      </w:r>
      <w:r>
        <w:rPr>
          <w:rFonts w:hint="eastAsia" w:asciiTheme="majorEastAsia" w:hAnsiTheme="majorEastAsia" w:eastAsiaTheme="majorEastAsia" w:cstheme="majorEastAsia"/>
          <w:color w:val="auto"/>
          <w:highlight w:val="none"/>
        </w:rPr>
        <w:t>采用</w:t>
      </w:r>
      <w:r>
        <w:rPr>
          <w:rFonts w:hint="eastAsia" w:asciiTheme="majorEastAsia" w:hAnsiTheme="majorEastAsia" w:eastAsiaTheme="majorEastAsia" w:cstheme="majorEastAsia"/>
          <w:color w:val="auto"/>
          <w:highlight w:val="none"/>
          <w:u w:val="single"/>
        </w:rPr>
        <w:t>公开招标方式</w:t>
      </w:r>
      <w:r>
        <w:rPr>
          <w:rFonts w:hint="eastAsia" w:asciiTheme="majorEastAsia" w:hAnsiTheme="majorEastAsia" w:eastAsiaTheme="majorEastAsia" w:cstheme="majorEastAsia"/>
          <w:color w:val="auto"/>
          <w:highlight w:val="none"/>
        </w:rPr>
        <w:t>组织</w:t>
      </w:r>
      <w:r>
        <w:rPr>
          <w:rFonts w:hint="eastAsia" w:asciiTheme="majorEastAsia" w:hAnsiTheme="majorEastAsia" w:eastAsiaTheme="majorEastAsia" w:cstheme="majorEastAsia"/>
          <w:color w:val="auto"/>
          <w:highlight w:val="none"/>
          <w:lang w:eastAsia="zh-CN"/>
        </w:rPr>
        <w:t>南日岛东岱湾全塑胶养殖渔排及深水抗风浪网箱（南日岛东岱湾生态养殖网箱平台）</w:t>
      </w:r>
      <w:r>
        <w:rPr>
          <w:rFonts w:hint="eastAsia" w:asciiTheme="majorEastAsia" w:hAnsiTheme="majorEastAsia" w:eastAsiaTheme="majorEastAsia" w:cstheme="majorEastAsia"/>
          <w:color w:val="auto"/>
          <w:highlight w:val="none"/>
        </w:rPr>
        <w:t>（以下简称：“本项目”）的政府采购活动，现邀请供应商参加投标。</w:t>
      </w:r>
    </w:p>
    <w:p>
      <w:pPr>
        <w:spacing w:line="400" w:lineRule="exact"/>
        <w:ind w:firstLine="480" w:firstLineChars="200"/>
        <w:rPr>
          <w:rFonts w:hint="eastAsia" w:asciiTheme="majorEastAsia" w:hAnsiTheme="majorEastAsia" w:eastAsiaTheme="majorEastAsia" w:cstheme="majorEastAsia"/>
          <w:color w:val="auto"/>
          <w:sz w:val="24"/>
          <w:highlight w:val="none"/>
          <w:lang w:eastAsia="zh-CN"/>
        </w:rPr>
      </w:pPr>
      <w:r>
        <w:rPr>
          <w:rFonts w:hint="eastAsia" w:asciiTheme="majorEastAsia" w:hAnsiTheme="majorEastAsia" w:eastAsiaTheme="majorEastAsia" w:cstheme="majorEastAsia"/>
          <w:bCs/>
          <w:color w:val="auto"/>
          <w:sz w:val="24"/>
          <w:highlight w:val="none"/>
        </w:rPr>
        <w:t>1、</w:t>
      </w:r>
      <w:r>
        <w:rPr>
          <w:rFonts w:hint="eastAsia" w:asciiTheme="majorEastAsia" w:hAnsiTheme="majorEastAsia" w:eastAsiaTheme="majorEastAsia" w:cstheme="majorEastAsia"/>
          <w:bCs/>
          <w:color w:val="auto"/>
          <w:sz w:val="24"/>
          <w:highlight w:val="none"/>
          <w:lang w:eastAsia="zh-CN"/>
        </w:rPr>
        <w:t>项目编号</w:t>
      </w:r>
      <w:r>
        <w:rPr>
          <w:rFonts w:hint="eastAsia" w:asciiTheme="majorEastAsia" w:hAnsiTheme="majorEastAsia" w:eastAsiaTheme="majorEastAsia" w:cstheme="majorEastAsia"/>
          <w:bCs/>
          <w:color w:val="auto"/>
          <w:sz w:val="24"/>
          <w:highlight w:val="none"/>
        </w:rPr>
        <w:t>：</w:t>
      </w:r>
      <w:r>
        <w:rPr>
          <w:rFonts w:hint="eastAsia" w:asciiTheme="majorEastAsia" w:hAnsiTheme="majorEastAsia" w:eastAsiaTheme="majorEastAsia" w:cstheme="majorEastAsia"/>
          <w:bCs/>
          <w:color w:val="auto"/>
          <w:sz w:val="24"/>
          <w:highlight w:val="none"/>
          <w:lang w:eastAsia="zh-CN"/>
        </w:rPr>
        <w:t>PTXC20220317-1</w:t>
      </w:r>
    </w:p>
    <w:p>
      <w:pPr>
        <w:spacing w:line="400" w:lineRule="exac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2、预算金额、最高限价：详见《采购标的一览表》。</w:t>
      </w:r>
    </w:p>
    <w:p>
      <w:pPr>
        <w:pStyle w:val="18"/>
        <w:widowControl/>
        <w:spacing w:line="400" w:lineRule="exact"/>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3、招标内容及要求：详见《采购标的一览表》及招标文件第五章。</w:t>
      </w:r>
    </w:p>
    <w:p>
      <w:pPr>
        <w:spacing w:line="400" w:lineRule="exact"/>
        <w:ind w:firstLine="480" w:firstLineChars="20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4"/>
          <w:highlight w:val="none"/>
        </w:rPr>
        <w:t>4、需要落实的政府采购政策：进口产品，适用于（无）。节能产品，适用于（所有合同包或品目号），按照《关于印发节能产品政府采购品目清单的通知》财库〔2019〕19号执行。环境标志产品，适用于（所有合同包或品目号），按照《关于印发环境标志产品政府采购品目清单的通知》财库〔2019〕18号执行。信息安全产品，适用于（所有合同包或品目号）。小型、微型企业符合财政部、工信部文件（财库〔2020〕46号），适用于（所有合同包或品目号）。监狱企业，适用于（所有合同包或品目号）。促进残疾人就业 ，适用于（所有合同包或品目号）。</w:t>
      </w:r>
    </w:p>
    <w:p>
      <w:pPr>
        <w:pStyle w:val="18"/>
        <w:widowControl/>
        <w:spacing w:line="420" w:lineRule="exact"/>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5、投标人的资格要求</w:t>
      </w:r>
    </w:p>
    <w:p>
      <w:pPr>
        <w:pStyle w:val="18"/>
        <w:widowControl/>
        <w:spacing w:line="420" w:lineRule="exact"/>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5.1法定条件：符合政府采购法第二十二条第一款规定的条件。</w:t>
      </w:r>
    </w:p>
    <w:p>
      <w:pPr>
        <w:pStyle w:val="18"/>
        <w:widowControl/>
        <w:spacing w:before="75" w:after="75"/>
        <w:ind w:left="479" w:leftChars="228"/>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5.2特定条件：</w:t>
      </w:r>
    </w:p>
    <w:p>
      <w:pPr>
        <w:pStyle w:val="18"/>
        <w:keepNext w:val="0"/>
        <w:keepLines w:val="0"/>
        <w:widowControl/>
        <w:suppressLineNumbers w:val="0"/>
        <w:spacing w:before="75" w:beforeAutospacing="0" w:after="75" w:afterAutospacing="0"/>
        <w:ind w:left="0" w:right="0" w:firstLine="480"/>
        <w:rPr>
          <w:color w:val="auto"/>
          <w:highlight w:val="none"/>
        </w:rPr>
      </w:pPr>
      <w:r>
        <w:rPr>
          <w:rStyle w:val="25"/>
          <w:color w:val="auto"/>
          <w:spacing w:val="0"/>
          <w:sz w:val="24"/>
          <w:szCs w:val="24"/>
          <w:highlight w:val="none"/>
        </w:rPr>
        <w:t>包：1</w:t>
      </w:r>
      <w:r>
        <w:rPr>
          <w:color w:val="auto"/>
          <w:spacing w:val="0"/>
          <w:sz w:val="24"/>
          <w:szCs w:val="24"/>
          <w:highlight w:val="none"/>
        </w:rPr>
        <w:t xml:space="preserve"> </w:t>
      </w:r>
    </w:p>
    <w:tbl>
      <w:tblPr>
        <w:tblStyle w:val="21"/>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3750"/>
        <w:gridCol w:w="45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2249"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b/>
                <w:color w:val="auto"/>
                <w:highlight w:val="none"/>
              </w:rPr>
            </w:pPr>
            <w:r>
              <w:rPr>
                <w:rFonts w:ascii="宋体" w:hAnsi="宋体" w:eastAsia="宋体" w:cs="宋体"/>
                <w:b/>
                <w:color w:val="auto"/>
                <w:kern w:val="0"/>
                <w:sz w:val="24"/>
                <w:szCs w:val="24"/>
                <w:highlight w:val="none"/>
                <w:lang w:val="en-US" w:eastAsia="zh-CN" w:bidi="ar"/>
              </w:rPr>
              <w:t>明细</w:t>
            </w:r>
          </w:p>
        </w:tc>
        <w:tc>
          <w:tcPr>
            <w:tcW w:w="275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b/>
                <w:color w:val="auto"/>
                <w:highlight w:val="none"/>
              </w:rPr>
            </w:pPr>
            <w:r>
              <w:rPr>
                <w:rFonts w:ascii="宋体" w:hAnsi="宋体" w:eastAsia="宋体" w:cs="宋体"/>
                <w:b/>
                <w:color w:val="auto"/>
                <w:kern w:val="0"/>
                <w:sz w:val="24"/>
                <w:szCs w:val="24"/>
                <w:highlight w:val="none"/>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招标文件规定的其他资格证明文件（若有）</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bl>
    <w:p>
      <w:pPr>
        <w:pStyle w:val="18"/>
        <w:widowControl/>
        <w:spacing w:before="75" w:after="75"/>
        <w:ind w:firstLine="480" w:firstLineChars="200"/>
        <w:rPr>
          <w:rFonts w:asciiTheme="majorEastAsia" w:hAnsiTheme="majorEastAsia" w:eastAsiaTheme="majorEastAsia" w:cstheme="majorEastAsia"/>
          <w:color w:val="auto"/>
          <w:kern w:val="0"/>
          <w:highlight w:val="none"/>
        </w:rPr>
      </w:pPr>
      <w:r>
        <w:rPr>
          <w:rFonts w:hint="eastAsia" w:asciiTheme="majorEastAsia" w:hAnsiTheme="majorEastAsia" w:eastAsiaTheme="majorEastAsia" w:cstheme="majorEastAsia"/>
          <w:color w:val="auto"/>
          <w:highlight w:val="none"/>
        </w:rPr>
        <w:t>5.3是否接受联合体投标：不接受。</w:t>
      </w:r>
    </w:p>
    <w:p>
      <w:pPr>
        <w:pStyle w:val="18"/>
        <w:widowControl/>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※根据上述资格要求，投标文件中应提交的“投标人的资格及资信证明文件”详见招标文件第四章。</w:t>
      </w:r>
    </w:p>
    <w:p>
      <w:pPr>
        <w:pStyle w:val="18"/>
        <w:widowControl/>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6、</w:t>
      </w:r>
      <w:r>
        <w:rPr>
          <w:rFonts w:cs="宋体" w:asciiTheme="minorEastAsia" w:hAnsiTheme="minorEastAsia"/>
          <w:color w:val="auto"/>
          <w:kern w:val="0"/>
          <w:sz w:val="24"/>
          <w:szCs w:val="24"/>
          <w:highlight w:val="none"/>
        </w:rPr>
        <w:t>招标文件的获取</w:t>
      </w:r>
    </w:p>
    <w:p>
      <w:pPr>
        <w:pStyle w:val="18"/>
        <w:widowControl/>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6.1</w:t>
      </w:r>
      <w:r>
        <w:rPr>
          <w:rFonts w:cs="宋体" w:asciiTheme="minorEastAsia" w:hAnsiTheme="minorEastAsia"/>
          <w:color w:val="auto"/>
          <w:kern w:val="0"/>
          <w:sz w:val="24"/>
          <w:szCs w:val="24"/>
          <w:highlight w:val="none"/>
        </w:rPr>
        <w:t>招标文件获取期限</w:t>
      </w:r>
      <w:r>
        <w:rPr>
          <w:rFonts w:hint="eastAsia" w:asciiTheme="majorEastAsia" w:hAnsiTheme="majorEastAsia" w:eastAsiaTheme="majorEastAsia" w:cstheme="majorEastAsia"/>
          <w:color w:val="auto"/>
          <w:highlight w:val="none"/>
        </w:rPr>
        <w:t>：详见招标公告或更正公告（若有），若不一致，以更正公告（若有）为准。</w:t>
      </w:r>
    </w:p>
    <w:p>
      <w:pPr>
        <w:tabs>
          <w:tab w:val="left" w:pos="1134"/>
        </w:tabs>
        <w:spacing w:line="400" w:lineRule="exact"/>
        <w:ind w:right="105" w:rightChars="50"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6.2投标人直接在</w:t>
      </w:r>
      <w:r>
        <w:rPr>
          <w:rFonts w:hint="eastAsia" w:asciiTheme="majorEastAsia" w:hAnsiTheme="majorEastAsia" w:eastAsiaTheme="majorEastAsia" w:cstheme="majorEastAsia"/>
          <w:bCs/>
          <w:color w:val="auto"/>
          <w:kern w:val="0"/>
          <w:sz w:val="24"/>
          <w:highlight w:val="none"/>
        </w:rPr>
        <w:t>莆田市公共资源交易中心网</w:t>
      </w:r>
      <w:r>
        <w:rPr>
          <w:rFonts w:hint="eastAsia" w:asciiTheme="majorEastAsia" w:hAnsiTheme="majorEastAsia" w:eastAsiaTheme="majorEastAsia" w:cstheme="majorEastAsia"/>
          <w:color w:val="auto"/>
          <w:sz w:val="24"/>
          <w:highlight w:val="none"/>
        </w:rPr>
        <w:t>下载招标文件。</w:t>
      </w:r>
    </w:p>
    <w:p>
      <w:pPr>
        <w:tabs>
          <w:tab w:val="left" w:pos="1134"/>
        </w:tabs>
        <w:spacing w:line="400" w:lineRule="exact"/>
        <w:ind w:right="105" w:rightChars="50"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6.3获取地点及方式：</w:t>
      </w:r>
      <w:r>
        <w:rPr>
          <w:rFonts w:hint="eastAsia" w:asciiTheme="majorEastAsia" w:hAnsiTheme="majorEastAsia" w:eastAsiaTheme="majorEastAsia" w:cstheme="majorEastAsia"/>
          <w:color w:val="auto"/>
          <w:kern w:val="1"/>
          <w:sz w:val="24"/>
          <w:highlight w:val="none"/>
        </w:rPr>
        <w:t>莆田市城厢区龙桥街道荔城中大道2580号四楼</w:t>
      </w:r>
      <w:r>
        <w:rPr>
          <w:rFonts w:hint="eastAsia" w:asciiTheme="majorEastAsia" w:hAnsiTheme="majorEastAsia" w:eastAsiaTheme="majorEastAsia" w:cstheme="majorEastAsia"/>
          <w:color w:val="auto"/>
          <w:sz w:val="24"/>
          <w:highlight w:val="none"/>
        </w:rPr>
        <w:t>。</w:t>
      </w:r>
    </w:p>
    <w:p>
      <w:pPr>
        <w:pStyle w:val="18"/>
        <w:widowControl/>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7、投标截止</w:t>
      </w:r>
    </w:p>
    <w:p>
      <w:pPr>
        <w:pStyle w:val="18"/>
        <w:widowControl/>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7.1投标截止时间：详见招标公告或更正公告（若有），若不一致，以更正公告（若有）为准。</w:t>
      </w:r>
    </w:p>
    <w:p>
      <w:pPr>
        <w:pStyle w:val="18"/>
        <w:widowControl/>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8、开标时间及地点：详见招标公告或更正公告（若有），若不一致，以更正公告（若有）为准。</w:t>
      </w:r>
      <w:r>
        <w:rPr>
          <w:rStyle w:val="25"/>
          <w:rFonts w:hint="eastAsia" w:asciiTheme="majorEastAsia" w:hAnsiTheme="majorEastAsia" w:eastAsiaTheme="majorEastAsia" w:cstheme="majorEastAsia"/>
          <w:color w:val="auto"/>
          <w:highlight w:val="none"/>
        </w:rPr>
        <w:t> </w:t>
      </w:r>
    </w:p>
    <w:p>
      <w:pPr>
        <w:pStyle w:val="18"/>
        <w:widowControl/>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9、公告期限</w:t>
      </w:r>
    </w:p>
    <w:p>
      <w:pPr>
        <w:widowControl/>
        <w:spacing w:line="440" w:lineRule="exact"/>
        <w:ind w:firstLine="480" w:firstLineChars="200"/>
        <w:jc w:val="lef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4"/>
          <w:highlight w:val="none"/>
        </w:rPr>
        <w:t>9.1</w:t>
      </w:r>
      <w:r>
        <w:rPr>
          <w:rFonts w:cs="宋体" w:asciiTheme="minorEastAsia" w:hAnsiTheme="minorEastAsia"/>
          <w:color w:val="auto"/>
          <w:kern w:val="0"/>
          <w:sz w:val="24"/>
          <w:szCs w:val="24"/>
          <w:highlight w:val="none"/>
        </w:rPr>
        <w:t>招标公告的公告期限：</w:t>
      </w:r>
      <w:r>
        <w:rPr>
          <w:rFonts w:hint="eastAsia" w:cs="宋体" w:asciiTheme="minorEastAsia" w:hAnsiTheme="minorEastAsia"/>
          <w:color w:val="auto"/>
          <w:kern w:val="0"/>
          <w:sz w:val="24"/>
          <w:szCs w:val="24"/>
          <w:highlight w:val="none"/>
        </w:rPr>
        <w:t>指定的政府采购信息发布媒体最先发布公告之日起5个工作日。</w:t>
      </w:r>
    </w:p>
    <w:p>
      <w:pPr>
        <w:pStyle w:val="18"/>
        <w:widowControl/>
        <w:spacing w:line="440" w:lineRule="exact"/>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9.2招标文件公告期限：招标文件随同招标公告一并发布，其公告期限与本章第9.1条载明的期限保持一致。</w:t>
      </w:r>
    </w:p>
    <w:p>
      <w:pPr>
        <w:spacing w:line="440" w:lineRule="exact"/>
        <w:ind w:firstLine="480" w:firstLineChars="200"/>
        <w:rPr>
          <w:rFonts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color w:val="auto"/>
          <w:sz w:val="24"/>
          <w:highlight w:val="none"/>
        </w:rPr>
        <w:t>10、</w:t>
      </w:r>
      <w:r>
        <w:rPr>
          <w:rFonts w:hint="eastAsia" w:asciiTheme="majorEastAsia" w:hAnsiTheme="majorEastAsia" w:eastAsiaTheme="majorEastAsia" w:cstheme="majorEastAsia"/>
          <w:bCs/>
          <w:color w:val="auto"/>
          <w:sz w:val="24"/>
          <w:highlight w:val="none"/>
        </w:rPr>
        <w:t>投标须知：</w:t>
      </w:r>
    </w:p>
    <w:p>
      <w:pPr>
        <w:spacing w:line="440" w:lineRule="exact"/>
        <w:ind w:firstLine="480" w:firstLineChars="200"/>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color w:val="auto"/>
          <w:sz w:val="24"/>
          <w:highlight w:val="none"/>
        </w:rPr>
        <w:t>10.1投标人应通过《莆田市公共交易中心网》的公开信息系统注册账号（免费注册），用于本项目报名及提交网上投标文件，否则投标将被拒绝。</w:t>
      </w:r>
    </w:p>
    <w:p>
      <w:pPr>
        <w:spacing w:line="440" w:lineRule="exact"/>
        <w:ind w:firstLine="480" w:firstLineChars="200"/>
        <w:rPr>
          <w:rFonts w:asciiTheme="majorEastAsia" w:hAnsiTheme="majorEastAsia" w:eastAsiaTheme="majorEastAsia" w:cstheme="majorEastAsia"/>
          <w:bCs/>
          <w:color w:val="auto"/>
          <w:kern w:val="0"/>
          <w:sz w:val="24"/>
          <w:highlight w:val="none"/>
        </w:rPr>
      </w:pPr>
      <w:r>
        <w:rPr>
          <w:rFonts w:hint="eastAsia" w:asciiTheme="majorEastAsia" w:hAnsiTheme="majorEastAsia" w:eastAsiaTheme="majorEastAsia" w:cstheme="majorEastAsia"/>
          <w:bCs/>
          <w:color w:val="auto"/>
          <w:kern w:val="0"/>
          <w:sz w:val="24"/>
          <w:highlight w:val="none"/>
        </w:rPr>
        <w:t>10.2投标人必须提交网上投标文件，未上传网上投标文件或上传的投标文件不全的其投标文件无效，在开标前提交纸质投标文件以供存档；评标委员会只对网上投标文件进行评审。如系统原因不能上传投标文件或开标评标时无法正常进行的，则由代理机构上报监管部门决定是否启用提交的纸质投标文件进行评标。</w:t>
      </w:r>
    </w:p>
    <w:p>
      <w:pPr>
        <w:spacing w:line="440" w:lineRule="exact"/>
        <w:ind w:firstLine="480" w:firstLineChars="200"/>
        <w:rPr>
          <w:rFonts w:asciiTheme="majorEastAsia" w:hAnsiTheme="majorEastAsia" w:eastAsiaTheme="majorEastAsia" w:cstheme="majorEastAsia"/>
          <w:bCs/>
          <w:color w:val="auto"/>
          <w:kern w:val="0"/>
          <w:sz w:val="24"/>
          <w:highlight w:val="none"/>
        </w:rPr>
      </w:pPr>
      <w:r>
        <w:rPr>
          <w:rFonts w:hint="eastAsia" w:asciiTheme="majorEastAsia" w:hAnsiTheme="majorEastAsia" w:eastAsiaTheme="majorEastAsia" w:cstheme="majorEastAsia"/>
          <w:bCs/>
          <w:color w:val="auto"/>
          <w:kern w:val="0"/>
          <w:sz w:val="24"/>
          <w:highlight w:val="none"/>
        </w:rPr>
        <w:t>10.3投标人的电子版投标文件由资格及资信证明部分、技术商务部分与报价部分组成，在网上投标时必须报价并上传资格及资信证明部分、技术商务部分文件，资格及资信证明部分、技术商务部分文件中不得有报价部分，并且投标人须带CA现场解密，否则为无效投标。</w:t>
      </w:r>
    </w:p>
    <w:p>
      <w:pPr>
        <w:spacing w:line="440" w:lineRule="exact"/>
        <w:ind w:firstLine="480" w:firstLineChars="200"/>
        <w:rPr>
          <w:rFonts w:asciiTheme="majorEastAsia" w:hAnsiTheme="majorEastAsia" w:eastAsiaTheme="majorEastAsia" w:cstheme="majorEastAsia"/>
          <w:bCs/>
          <w:color w:val="auto"/>
          <w:kern w:val="0"/>
          <w:sz w:val="24"/>
          <w:highlight w:val="none"/>
        </w:rPr>
      </w:pPr>
      <w:r>
        <w:rPr>
          <w:rFonts w:hint="eastAsia" w:asciiTheme="majorEastAsia" w:hAnsiTheme="majorEastAsia" w:eastAsiaTheme="majorEastAsia" w:cstheme="majorEastAsia"/>
          <w:bCs/>
          <w:color w:val="auto"/>
          <w:kern w:val="0"/>
          <w:sz w:val="24"/>
          <w:highlight w:val="none"/>
        </w:rPr>
        <w:t>11.投标人网上身份认证：</w:t>
      </w:r>
    </w:p>
    <w:p>
      <w:pPr>
        <w:spacing w:line="440" w:lineRule="exact"/>
        <w:ind w:firstLine="480" w:firstLineChars="200"/>
        <w:rPr>
          <w:rFonts w:asciiTheme="majorEastAsia" w:hAnsiTheme="majorEastAsia" w:eastAsiaTheme="majorEastAsia" w:cstheme="majorEastAsia"/>
          <w:bCs/>
          <w:color w:val="auto"/>
          <w:kern w:val="0"/>
          <w:sz w:val="24"/>
          <w:highlight w:val="none"/>
        </w:rPr>
      </w:pPr>
      <w:r>
        <w:rPr>
          <w:rFonts w:hint="eastAsia" w:asciiTheme="majorEastAsia" w:hAnsiTheme="majorEastAsia" w:eastAsiaTheme="majorEastAsia" w:cstheme="majorEastAsia"/>
          <w:bCs/>
          <w:color w:val="auto"/>
          <w:kern w:val="0"/>
          <w:sz w:val="24"/>
          <w:highlight w:val="none"/>
        </w:rPr>
        <w:t>11.1网上采购系统应使用</w:t>
      </w:r>
      <w:r>
        <w:rPr>
          <w:rFonts w:hint="eastAsia" w:asciiTheme="majorEastAsia" w:hAnsiTheme="majorEastAsia" w:eastAsiaTheme="majorEastAsia" w:cstheme="majorEastAsia"/>
          <w:b/>
          <w:bCs/>
          <w:color w:val="auto"/>
          <w:kern w:val="0"/>
          <w:sz w:val="24"/>
          <w:highlight w:val="none"/>
        </w:rPr>
        <w:t>电子CA证书参与投标</w:t>
      </w:r>
      <w:r>
        <w:rPr>
          <w:rFonts w:hint="eastAsia" w:asciiTheme="majorEastAsia" w:hAnsiTheme="majorEastAsia" w:eastAsiaTheme="majorEastAsia" w:cstheme="majorEastAsia"/>
          <w:bCs/>
          <w:color w:val="auto"/>
          <w:kern w:val="0"/>
          <w:sz w:val="24"/>
          <w:highlight w:val="none"/>
        </w:rPr>
        <w:t>，持有该卡用户可以在莆田市行政服务中心系统上注册报名并进行网上加密投标，</w:t>
      </w:r>
      <w:r>
        <w:rPr>
          <w:rFonts w:hint="eastAsia" w:asciiTheme="majorEastAsia" w:hAnsiTheme="majorEastAsia" w:eastAsiaTheme="majorEastAsia" w:cstheme="majorEastAsia"/>
          <w:color w:val="auto"/>
          <w:sz w:val="24"/>
          <w:highlight w:val="none"/>
        </w:rPr>
        <w:t>否则</w:t>
      </w:r>
      <w:r>
        <w:rPr>
          <w:rStyle w:val="25"/>
          <w:rFonts w:hint="eastAsia" w:asciiTheme="majorEastAsia" w:hAnsiTheme="majorEastAsia" w:eastAsiaTheme="majorEastAsia" w:cstheme="majorEastAsia"/>
          <w:color w:val="auto"/>
          <w:sz w:val="24"/>
          <w:highlight w:val="none"/>
        </w:rPr>
        <w:t>投标将被拒绝</w:t>
      </w:r>
      <w:r>
        <w:rPr>
          <w:rFonts w:hint="eastAsia" w:asciiTheme="majorEastAsia" w:hAnsiTheme="majorEastAsia" w:eastAsiaTheme="majorEastAsia" w:cstheme="majorEastAsia"/>
          <w:bCs/>
          <w:color w:val="auto"/>
          <w:kern w:val="0"/>
          <w:sz w:val="24"/>
          <w:highlight w:val="none"/>
        </w:rPr>
        <w:t>。</w:t>
      </w:r>
    </w:p>
    <w:p>
      <w:pPr>
        <w:spacing w:line="440" w:lineRule="exact"/>
        <w:ind w:firstLine="480" w:firstLineChars="200"/>
        <w:rPr>
          <w:rFonts w:ascii="宋体" w:hAnsi="宋体" w:cs="宋体"/>
          <w:bCs/>
          <w:color w:val="auto"/>
          <w:kern w:val="0"/>
          <w:sz w:val="24"/>
          <w:highlight w:val="none"/>
        </w:rPr>
      </w:pPr>
      <w:r>
        <w:rPr>
          <w:rFonts w:hint="eastAsia" w:ascii="宋体" w:hAnsi="宋体" w:cs="宋体"/>
          <w:bCs/>
          <w:color w:val="auto"/>
          <w:kern w:val="0"/>
          <w:sz w:val="24"/>
          <w:highlight w:val="none"/>
        </w:rPr>
        <w:t xml:space="preserve">11.2申请CA证书：没有数字证书的用户可以向CA认证机构“福建凯特信息安全技术有限公司”申请CA证书,线上办理链接：http://www.fjdzyz.com/project/main/zfcg.jsp，根据流程，在线提交业务申请。CA问题，若有疑问，请直接联系福建凯特信息安全技术有限公司在线客服或拨打客服热线：4001-080-999。  </w:t>
      </w:r>
    </w:p>
    <w:p>
      <w:pPr>
        <w:spacing w:line="440" w:lineRule="exact"/>
        <w:ind w:firstLine="480" w:firstLineChars="200"/>
        <w:rPr>
          <w:rFonts w:ascii="宋体" w:hAnsi="宋体" w:cs="宋体"/>
          <w:color w:val="auto"/>
          <w:sz w:val="24"/>
          <w:highlight w:val="none"/>
        </w:rPr>
      </w:pPr>
      <w:r>
        <w:rPr>
          <w:rFonts w:hint="eastAsia" w:ascii="宋体" w:hAnsi="宋体" w:cs="宋体"/>
          <w:bCs/>
          <w:color w:val="auto"/>
          <w:kern w:val="0"/>
          <w:sz w:val="24"/>
          <w:highlight w:val="none"/>
        </w:rPr>
        <w:t>12.本项目采用网上电子投标方式进行，只接受莆田市公共资源交易中心会员库中已审核通过会员的投标，未入库的潜在投标人请及时办理入库手续，具体操作详见“莆田市行政服务中心网-办事指南-供应商操作手册”。网上投标技术问题，若有疑问，可咨询电子招投标平台：江苏国泰新点软件有限公司（咨询电话：0594-2853358、0594-2221219）。</w:t>
      </w:r>
    </w:p>
    <w:p>
      <w:pPr>
        <w:pStyle w:val="18"/>
        <w:widowControl/>
        <w:spacing w:line="440" w:lineRule="exact"/>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13、投标保证金</w:t>
      </w:r>
    </w:p>
    <w:p>
      <w:pPr>
        <w:spacing w:line="440" w:lineRule="exact"/>
        <w:ind w:firstLine="482" w:firstLineChars="200"/>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13.1莆田市信成造价咨询有限公司指定账户：</w:t>
      </w:r>
    </w:p>
    <w:p>
      <w:pPr>
        <w:pStyle w:val="6"/>
        <w:snapToGrid w:val="0"/>
        <w:spacing w:line="440" w:lineRule="exact"/>
        <w:ind w:firstLine="480" w:firstLineChars="200"/>
        <w:rPr>
          <w:rFonts w:ascii="宋体" w:hAnsi="宋体" w:cs="宋体"/>
          <w:color w:val="auto"/>
          <w:sz w:val="24"/>
          <w:highlight w:val="none"/>
        </w:rPr>
      </w:pPr>
      <w:r>
        <w:rPr>
          <w:rFonts w:hint="eastAsia" w:asciiTheme="majorEastAsia" w:hAnsiTheme="majorEastAsia" w:eastAsiaTheme="majorEastAsia" w:cstheme="majorEastAsia"/>
          <w:color w:val="auto"/>
          <w:sz w:val="24"/>
          <w:highlight w:val="none"/>
        </w:rPr>
        <w:t>13.1.1</w:t>
      </w:r>
      <w:r>
        <w:rPr>
          <w:rFonts w:hint="eastAsia" w:ascii="宋体" w:hAnsi="宋体" w:cs="宋体"/>
          <w:color w:val="auto"/>
          <w:sz w:val="24"/>
          <w:highlight w:val="none"/>
        </w:rPr>
        <w:t>保证金缴纳账户：</w:t>
      </w:r>
      <w:r>
        <w:rPr>
          <w:rFonts w:hint="eastAsia" w:ascii="宋体" w:hAnsi="宋体"/>
          <w:color w:val="auto"/>
          <w:sz w:val="24"/>
          <w:highlight w:val="none"/>
        </w:rPr>
        <w:t>开户名：莆田市信成造价咨询有限公司，开户行：</w:t>
      </w:r>
      <w:r>
        <w:rPr>
          <w:rFonts w:hint="eastAsia" w:ascii="宋体" w:hAnsi="宋体" w:cs="宋体"/>
          <w:color w:val="auto"/>
          <w:sz w:val="24"/>
          <w:highlight w:val="none"/>
        </w:rPr>
        <w:t>农业银行莆田市府分理处</w:t>
      </w:r>
      <w:r>
        <w:rPr>
          <w:rFonts w:hint="eastAsia" w:ascii="宋体" w:hAnsi="宋体"/>
          <w:color w:val="auto"/>
          <w:sz w:val="24"/>
          <w:highlight w:val="none"/>
        </w:rPr>
        <w:t>，帐号：</w:t>
      </w:r>
      <w:r>
        <w:rPr>
          <w:rFonts w:hint="eastAsia" w:ascii="宋体" w:hAnsi="宋体" w:cs="宋体"/>
          <w:color w:val="auto"/>
          <w:sz w:val="24"/>
          <w:highlight w:val="none"/>
        </w:rPr>
        <w:t>13441501040003588。</w:t>
      </w:r>
    </w:p>
    <w:p>
      <w:pPr>
        <w:spacing w:line="440" w:lineRule="exac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13.1.2中标服务费缴纳账户：开户名—莆田市信成造价咨询有限公司；开户行—光大银行莆田分行；帐号—79880188000047251。</w:t>
      </w:r>
    </w:p>
    <w:p>
      <w:pPr>
        <w:spacing w:line="440" w:lineRule="exact"/>
        <w:ind w:firstLine="480" w:firstLineChars="200"/>
        <w:rPr>
          <w:rFonts w:hint="eastAsia" w:asciiTheme="majorEastAsia" w:hAnsiTheme="majorEastAsia" w:eastAsiaTheme="majorEastAsia" w:cstheme="majorEastAsia"/>
          <w:color w:val="auto"/>
          <w:sz w:val="24"/>
          <w:highlight w:val="none"/>
          <w:lang w:eastAsia="zh-CN"/>
        </w:rPr>
      </w:pPr>
      <w:r>
        <w:rPr>
          <w:rFonts w:hint="eastAsia" w:asciiTheme="majorEastAsia" w:hAnsiTheme="majorEastAsia" w:eastAsiaTheme="majorEastAsia" w:cstheme="majorEastAsia"/>
          <w:color w:val="auto"/>
          <w:sz w:val="24"/>
          <w:highlight w:val="none"/>
        </w:rPr>
        <w:t>14、招标人：</w:t>
      </w:r>
      <w:r>
        <w:rPr>
          <w:rFonts w:hint="eastAsia" w:asciiTheme="majorEastAsia" w:hAnsiTheme="majorEastAsia" w:eastAsiaTheme="majorEastAsia" w:cstheme="majorEastAsia"/>
          <w:color w:val="auto"/>
          <w:sz w:val="24"/>
          <w:highlight w:val="none"/>
          <w:lang w:eastAsia="zh-CN"/>
        </w:rPr>
        <w:t>莆田市</w:t>
      </w:r>
      <w:r>
        <w:rPr>
          <w:rStyle w:val="25"/>
          <w:rFonts w:hint="eastAsia" w:asciiTheme="majorEastAsia" w:hAnsiTheme="majorEastAsia" w:eastAsiaTheme="majorEastAsia" w:cstheme="majorEastAsia"/>
          <w:b w:val="0"/>
          <w:bCs/>
          <w:color w:val="auto"/>
          <w:kern w:val="2"/>
          <w:sz w:val="24"/>
          <w:szCs w:val="24"/>
          <w:highlight w:val="none"/>
          <w:lang w:val="en-US" w:eastAsia="zh-CN" w:bidi="ar-SA"/>
        </w:rPr>
        <w:t>秀屿区</w:t>
      </w:r>
      <w:r>
        <w:rPr>
          <w:rFonts w:hint="eastAsia" w:asciiTheme="majorEastAsia" w:hAnsiTheme="majorEastAsia" w:eastAsiaTheme="majorEastAsia" w:cstheme="majorEastAsia"/>
          <w:color w:val="auto"/>
          <w:sz w:val="24"/>
          <w:highlight w:val="none"/>
          <w:lang w:eastAsia="zh-CN"/>
        </w:rPr>
        <w:t>滨海渔港建设开发有限公司</w:t>
      </w:r>
    </w:p>
    <w:p>
      <w:pPr>
        <w:spacing w:line="440" w:lineRule="exact"/>
        <w:ind w:firstLine="480" w:firstLineChars="200"/>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地  址：福建省莆田市秀屿区笏石镇下郑村委会201室</w:t>
      </w:r>
    </w:p>
    <w:p>
      <w:pPr>
        <w:spacing w:line="440" w:lineRule="exact"/>
        <w:ind w:firstLine="480" w:firstLineChars="200"/>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联系人：林先生</w:t>
      </w:r>
    </w:p>
    <w:p>
      <w:pPr>
        <w:spacing w:line="440" w:lineRule="exact"/>
        <w:ind w:firstLine="480" w:firstLineChars="200"/>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联系电话：0594-5788169</w:t>
      </w:r>
    </w:p>
    <w:p>
      <w:pPr>
        <w:pStyle w:val="6"/>
        <w:spacing w:line="440" w:lineRule="exact"/>
        <w:rPr>
          <w:rFonts w:asciiTheme="majorEastAsia" w:hAnsiTheme="majorEastAsia" w:eastAsiaTheme="majorEastAsia" w:cstheme="majorEastAsia"/>
          <w:color w:val="auto"/>
          <w:sz w:val="24"/>
          <w:highlight w:val="none"/>
        </w:rPr>
      </w:pPr>
    </w:p>
    <w:p>
      <w:pPr>
        <w:spacing w:line="440" w:lineRule="exac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招标代理机构：莆田市信成造价咨询有限公司</w:t>
      </w:r>
    </w:p>
    <w:p>
      <w:pPr>
        <w:spacing w:line="440" w:lineRule="exac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地  址：</w:t>
      </w:r>
      <w:r>
        <w:rPr>
          <w:rFonts w:hint="eastAsia" w:asciiTheme="majorEastAsia" w:hAnsiTheme="majorEastAsia" w:eastAsiaTheme="majorEastAsia" w:cstheme="majorEastAsia"/>
          <w:color w:val="auto"/>
          <w:kern w:val="1"/>
          <w:sz w:val="24"/>
          <w:highlight w:val="none"/>
        </w:rPr>
        <w:t>莆田市城厢区龙桥街道荔城中大道2580号四楼</w:t>
      </w:r>
    </w:p>
    <w:p>
      <w:pPr>
        <w:spacing w:line="440" w:lineRule="exac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邮  箱：ptxc2009@163.com</w:t>
      </w:r>
    </w:p>
    <w:p>
      <w:pPr>
        <w:spacing w:line="440" w:lineRule="exac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电  话：0594-2855533   </w:t>
      </w:r>
    </w:p>
    <w:p>
      <w:pPr>
        <w:spacing w:line="440" w:lineRule="exact"/>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联系人：小蔡</w:t>
      </w:r>
    </w:p>
    <w:p>
      <w:pPr>
        <w:pStyle w:val="2"/>
        <w:rPr>
          <w:rFonts w:hint="eastAsia" w:asciiTheme="majorEastAsia" w:hAnsiTheme="majorEastAsia" w:eastAsiaTheme="majorEastAsia" w:cstheme="majorEastAsia"/>
          <w:color w:val="auto"/>
          <w:sz w:val="24"/>
          <w:highlight w:val="none"/>
        </w:rPr>
      </w:pPr>
    </w:p>
    <w:p>
      <w:pPr>
        <w:rPr>
          <w:rFonts w:hint="eastAsia" w:asciiTheme="majorEastAsia" w:hAnsiTheme="majorEastAsia" w:eastAsiaTheme="majorEastAsia" w:cstheme="majorEastAsia"/>
          <w:color w:val="auto"/>
          <w:sz w:val="24"/>
          <w:highlight w:val="none"/>
        </w:rPr>
      </w:pPr>
    </w:p>
    <w:p>
      <w:pPr>
        <w:pStyle w:val="2"/>
        <w:rPr>
          <w:rFonts w:hint="eastAsia" w:asciiTheme="majorEastAsia" w:hAnsiTheme="majorEastAsia" w:eastAsiaTheme="majorEastAsia" w:cstheme="majorEastAsia"/>
          <w:color w:val="auto"/>
          <w:sz w:val="24"/>
          <w:highlight w:val="none"/>
        </w:rPr>
      </w:pPr>
    </w:p>
    <w:p>
      <w:pPr>
        <w:rPr>
          <w:rFonts w:hint="eastAsia"/>
          <w:color w:val="auto"/>
        </w:rPr>
      </w:pPr>
    </w:p>
    <w:p>
      <w:pPr>
        <w:pStyle w:val="2"/>
        <w:rPr>
          <w:rFonts w:hint="eastAsia" w:asciiTheme="majorEastAsia" w:hAnsiTheme="majorEastAsia" w:eastAsiaTheme="majorEastAsia" w:cstheme="majorEastAsia"/>
          <w:color w:val="auto"/>
          <w:sz w:val="24"/>
          <w:highlight w:val="none"/>
        </w:rPr>
      </w:pPr>
    </w:p>
    <w:p>
      <w:pPr>
        <w:spacing w:line="440" w:lineRule="exact"/>
        <w:textAlignment w:val="baseline"/>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附：采购标的一览表</w:t>
      </w:r>
    </w:p>
    <w:p>
      <w:pPr>
        <w:pStyle w:val="18"/>
        <w:widowControl/>
        <w:spacing w:line="440" w:lineRule="exact"/>
        <w:jc w:val="righ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lang w:val="en-US" w:eastAsia="zh-CN"/>
        </w:rPr>
        <w:t xml:space="preserve">  </w:t>
      </w:r>
      <w:r>
        <w:rPr>
          <w:rFonts w:hint="eastAsia" w:asciiTheme="majorEastAsia" w:hAnsiTheme="majorEastAsia" w:eastAsiaTheme="majorEastAsia" w:cstheme="majorEastAsia"/>
          <w:color w:val="auto"/>
          <w:highlight w:val="none"/>
        </w:rPr>
        <w:t xml:space="preserve">金额单位：人民币元 </w:t>
      </w:r>
    </w:p>
    <w:tbl>
      <w:tblPr>
        <w:tblStyle w:val="21"/>
        <w:tblpPr w:leftFromText="180" w:rightFromText="180" w:vertAnchor="text" w:horzAnchor="page" w:tblpX="1839" w:tblpY="428"/>
        <w:tblOverlap w:val="never"/>
        <w:tblW w:w="8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78"/>
        <w:gridCol w:w="538"/>
        <w:gridCol w:w="2241"/>
        <w:gridCol w:w="807"/>
        <w:gridCol w:w="1625"/>
        <w:gridCol w:w="1311"/>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3" w:hRule="atLeast"/>
        </w:trPr>
        <w:tc>
          <w:tcPr>
            <w:tcW w:w="678" w:type="dxa"/>
            <w:vAlign w:val="center"/>
          </w:tcPr>
          <w:p>
            <w:pPr>
              <w:pStyle w:val="10"/>
              <w:tabs>
                <w:tab w:val="left" w:pos="420"/>
              </w:tabs>
              <w:spacing w:line="440" w:lineRule="exact"/>
              <w:jc w:val="center"/>
              <w:rPr>
                <w:rFonts w:asciiTheme="majorEastAsia" w:hAnsiTheme="majorEastAsia" w:eastAsiaTheme="majorEastAsia" w:cstheme="majorEastAsia"/>
                <w:b/>
                <w:color w:val="auto"/>
                <w:kern w:val="2"/>
                <w:sz w:val="24"/>
                <w:szCs w:val="24"/>
                <w:highlight w:val="none"/>
              </w:rPr>
            </w:pPr>
            <w:r>
              <w:rPr>
                <w:rFonts w:hint="eastAsia" w:asciiTheme="majorEastAsia" w:hAnsiTheme="majorEastAsia" w:eastAsiaTheme="majorEastAsia" w:cstheme="majorEastAsia"/>
                <w:b/>
                <w:color w:val="auto"/>
                <w:kern w:val="2"/>
                <w:sz w:val="24"/>
                <w:szCs w:val="24"/>
                <w:highlight w:val="none"/>
              </w:rPr>
              <w:t>合同包</w:t>
            </w:r>
          </w:p>
        </w:tc>
        <w:tc>
          <w:tcPr>
            <w:tcW w:w="538" w:type="dxa"/>
            <w:vAlign w:val="center"/>
          </w:tcPr>
          <w:p>
            <w:pPr>
              <w:pStyle w:val="10"/>
              <w:tabs>
                <w:tab w:val="left" w:pos="420"/>
              </w:tabs>
              <w:spacing w:line="440" w:lineRule="exact"/>
              <w:jc w:val="center"/>
              <w:rPr>
                <w:rFonts w:asciiTheme="majorEastAsia" w:hAnsiTheme="majorEastAsia" w:eastAsiaTheme="majorEastAsia" w:cstheme="majorEastAsia"/>
                <w:b/>
                <w:color w:val="auto"/>
                <w:kern w:val="2"/>
                <w:sz w:val="24"/>
                <w:szCs w:val="24"/>
                <w:highlight w:val="none"/>
              </w:rPr>
            </w:pPr>
            <w:r>
              <w:rPr>
                <w:rFonts w:hint="eastAsia" w:asciiTheme="majorEastAsia" w:hAnsiTheme="majorEastAsia" w:eastAsiaTheme="majorEastAsia" w:cstheme="majorEastAsia"/>
                <w:b/>
                <w:color w:val="auto"/>
                <w:kern w:val="2"/>
                <w:sz w:val="24"/>
                <w:szCs w:val="24"/>
                <w:highlight w:val="none"/>
              </w:rPr>
              <w:t>品目号</w:t>
            </w:r>
          </w:p>
        </w:tc>
        <w:tc>
          <w:tcPr>
            <w:tcW w:w="2241" w:type="dxa"/>
            <w:vAlign w:val="center"/>
          </w:tcPr>
          <w:p>
            <w:pPr>
              <w:pStyle w:val="10"/>
              <w:tabs>
                <w:tab w:val="left" w:pos="420"/>
              </w:tabs>
              <w:spacing w:line="440" w:lineRule="exact"/>
              <w:jc w:val="center"/>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采购标的</w:t>
            </w:r>
          </w:p>
        </w:tc>
        <w:tc>
          <w:tcPr>
            <w:tcW w:w="807" w:type="dxa"/>
            <w:vAlign w:val="center"/>
          </w:tcPr>
          <w:p>
            <w:pPr>
              <w:pStyle w:val="10"/>
              <w:tabs>
                <w:tab w:val="left" w:pos="420"/>
              </w:tabs>
              <w:spacing w:line="440" w:lineRule="exact"/>
              <w:jc w:val="center"/>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数量</w:t>
            </w:r>
          </w:p>
        </w:tc>
        <w:tc>
          <w:tcPr>
            <w:tcW w:w="1625" w:type="dxa"/>
            <w:vAlign w:val="center"/>
          </w:tcPr>
          <w:p>
            <w:pPr>
              <w:spacing w:line="440" w:lineRule="exact"/>
              <w:jc w:val="center"/>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招标内容及</w:t>
            </w:r>
          </w:p>
          <w:p>
            <w:pPr>
              <w:spacing w:line="440" w:lineRule="exact"/>
              <w:jc w:val="center"/>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要求</w:t>
            </w:r>
          </w:p>
        </w:tc>
        <w:tc>
          <w:tcPr>
            <w:tcW w:w="1311" w:type="dxa"/>
            <w:vAlign w:val="center"/>
          </w:tcPr>
          <w:p>
            <w:pPr>
              <w:widowControl/>
              <w:spacing w:line="440" w:lineRule="exact"/>
              <w:jc w:val="center"/>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最高限价</w:t>
            </w:r>
          </w:p>
        </w:tc>
        <w:tc>
          <w:tcPr>
            <w:tcW w:w="1427" w:type="dxa"/>
            <w:vAlign w:val="center"/>
          </w:tcPr>
          <w:p>
            <w:pPr>
              <w:widowControl/>
              <w:spacing w:line="440" w:lineRule="exact"/>
              <w:jc w:val="center"/>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9" w:hRule="atLeast"/>
        </w:trPr>
        <w:tc>
          <w:tcPr>
            <w:tcW w:w="678" w:type="dxa"/>
            <w:vMerge w:val="restart"/>
            <w:vAlign w:val="center"/>
          </w:tcPr>
          <w:p>
            <w:pPr>
              <w:pStyle w:val="10"/>
              <w:tabs>
                <w:tab w:val="left" w:pos="420"/>
              </w:tabs>
              <w:spacing w:line="440" w:lineRule="exact"/>
              <w:jc w:val="center"/>
              <w:rPr>
                <w:rFonts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1</w:t>
            </w:r>
          </w:p>
        </w:tc>
        <w:tc>
          <w:tcPr>
            <w:tcW w:w="538" w:type="dxa"/>
            <w:vAlign w:val="center"/>
          </w:tcPr>
          <w:p>
            <w:pPr>
              <w:pStyle w:val="10"/>
              <w:tabs>
                <w:tab w:val="left" w:pos="420"/>
              </w:tabs>
              <w:spacing w:line="440" w:lineRule="exact"/>
              <w:jc w:val="center"/>
              <w:rPr>
                <w:rFonts w:asciiTheme="majorEastAsia" w:hAnsiTheme="majorEastAsia" w:eastAsiaTheme="majorEastAsia" w:cstheme="majorEastAsia"/>
                <w:color w:val="auto"/>
                <w:kern w:val="2"/>
                <w:sz w:val="24"/>
                <w:szCs w:val="24"/>
                <w:highlight w:val="none"/>
              </w:rPr>
            </w:pPr>
            <w:r>
              <w:rPr>
                <w:rFonts w:hint="eastAsia" w:asciiTheme="majorEastAsia" w:hAnsiTheme="majorEastAsia" w:eastAsiaTheme="majorEastAsia" w:cstheme="majorEastAsia"/>
                <w:color w:val="auto"/>
                <w:kern w:val="2"/>
                <w:sz w:val="24"/>
                <w:szCs w:val="24"/>
                <w:highlight w:val="none"/>
              </w:rPr>
              <w:t>1-1</w:t>
            </w:r>
          </w:p>
        </w:tc>
        <w:tc>
          <w:tcPr>
            <w:tcW w:w="2241" w:type="dxa"/>
            <w:vAlign w:val="center"/>
          </w:tcPr>
          <w:p>
            <w:pPr>
              <w:spacing w:line="440" w:lineRule="exact"/>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Fonts w:hint="eastAsia" w:asciiTheme="majorEastAsia" w:hAnsiTheme="majorEastAsia" w:eastAsiaTheme="majorEastAsia" w:cstheme="majorEastAsia"/>
                <w:color w:val="auto"/>
                <w:sz w:val="24"/>
                <w:szCs w:val="24"/>
                <w:highlight w:val="none"/>
                <w:lang w:val="en-US" w:eastAsia="zh-CN"/>
              </w:rPr>
              <w:t>2000口4m*4m全塑胶渔排</w:t>
            </w:r>
          </w:p>
        </w:tc>
        <w:tc>
          <w:tcPr>
            <w:tcW w:w="807" w:type="dxa"/>
            <w:vAlign w:val="center"/>
          </w:tcPr>
          <w:p>
            <w:pPr>
              <w:spacing w:line="440" w:lineRule="exact"/>
              <w:jc w:val="center"/>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1批</w:t>
            </w:r>
          </w:p>
        </w:tc>
        <w:tc>
          <w:tcPr>
            <w:tcW w:w="1625" w:type="dxa"/>
            <w:vMerge w:val="restart"/>
            <w:vAlign w:val="center"/>
          </w:tcPr>
          <w:p>
            <w:pPr>
              <w:spacing w:line="440" w:lineRule="exact"/>
              <w:jc w:val="center"/>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详见第五章</w:t>
            </w:r>
          </w:p>
        </w:tc>
        <w:tc>
          <w:tcPr>
            <w:tcW w:w="1311" w:type="dxa"/>
            <w:vMerge w:val="restart"/>
            <w:vAlign w:val="center"/>
          </w:tcPr>
          <w:p>
            <w:pPr>
              <w:spacing w:line="440" w:lineRule="exact"/>
              <w:jc w:val="center"/>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13500000元</w:t>
            </w:r>
          </w:p>
        </w:tc>
        <w:tc>
          <w:tcPr>
            <w:tcW w:w="1427" w:type="dxa"/>
            <w:vMerge w:val="restart"/>
            <w:vAlign w:val="center"/>
          </w:tcPr>
          <w:p>
            <w:pPr>
              <w:spacing w:line="440" w:lineRule="exact"/>
              <w:jc w:val="center"/>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135000元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99" w:hRule="atLeast"/>
        </w:trPr>
        <w:tc>
          <w:tcPr>
            <w:tcW w:w="678" w:type="dxa"/>
            <w:vMerge w:val="continue"/>
            <w:vAlign w:val="center"/>
          </w:tcPr>
          <w:p>
            <w:pPr>
              <w:pStyle w:val="10"/>
              <w:tabs>
                <w:tab w:val="left" w:pos="420"/>
              </w:tabs>
              <w:spacing w:line="440" w:lineRule="exact"/>
              <w:jc w:val="center"/>
              <w:rPr>
                <w:rFonts w:hint="eastAsia" w:asciiTheme="majorEastAsia" w:hAnsiTheme="majorEastAsia" w:eastAsiaTheme="majorEastAsia" w:cstheme="majorEastAsia"/>
                <w:color w:val="auto"/>
                <w:kern w:val="2"/>
                <w:sz w:val="24"/>
                <w:szCs w:val="24"/>
                <w:highlight w:val="none"/>
              </w:rPr>
            </w:pPr>
          </w:p>
        </w:tc>
        <w:tc>
          <w:tcPr>
            <w:tcW w:w="538" w:type="dxa"/>
            <w:vAlign w:val="center"/>
          </w:tcPr>
          <w:p>
            <w:pPr>
              <w:pStyle w:val="10"/>
              <w:tabs>
                <w:tab w:val="left" w:pos="420"/>
              </w:tabs>
              <w:spacing w:line="440" w:lineRule="exact"/>
              <w:jc w:val="center"/>
              <w:rPr>
                <w:rFonts w:hint="default" w:asciiTheme="majorEastAsia" w:hAnsiTheme="majorEastAsia" w:eastAsiaTheme="majorEastAsia" w:cstheme="majorEastAsia"/>
                <w:color w:val="auto"/>
                <w:kern w:val="2"/>
                <w:sz w:val="24"/>
                <w:szCs w:val="24"/>
                <w:highlight w:val="none"/>
                <w:lang w:val="en-US" w:eastAsia="zh-CN"/>
              </w:rPr>
            </w:pPr>
            <w:r>
              <w:rPr>
                <w:rFonts w:hint="eastAsia" w:asciiTheme="majorEastAsia" w:hAnsiTheme="majorEastAsia" w:eastAsiaTheme="majorEastAsia" w:cstheme="majorEastAsia"/>
                <w:color w:val="auto"/>
                <w:kern w:val="2"/>
                <w:sz w:val="24"/>
                <w:szCs w:val="24"/>
                <w:highlight w:val="none"/>
                <w:lang w:val="en-US" w:eastAsia="zh-CN"/>
              </w:rPr>
              <w:t>1-2</w:t>
            </w:r>
          </w:p>
        </w:tc>
        <w:tc>
          <w:tcPr>
            <w:tcW w:w="2241" w:type="dxa"/>
            <w:vAlign w:val="center"/>
          </w:tcPr>
          <w:p>
            <w:pPr>
              <w:spacing w:line="440" w:lineRule="exact"/>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Fonts w:hint="eastAsia" w:asciiTheme="majorEastAsia" w:hAnsiTheme="majorEastAsia" w:eastAsiaTheme="majorEastAsia" w:cstheme="majorEastAsia"/>
                <w:color w:val="auto"/>
                <w:sz w:val="24"/>
                <w:szCs w:val="24"/>
                <w:highlight w:val="none"/>
                <w:lang w:val="en-US" w:eastAsia="zh-CN"/>
              </w:rPr>
              <w:t>4口深水抗风浪网箱</w:t>
            </w:r>
          </w:p>
        </w:tc>
        <w:tc>
          <w:tcPr>
            <w:tcW w:w="807" w:type="dxa"/>
            <w:vAlign w:val="center"/>
          </w:tcPr>
          <w:p>
            <w:pPr>
              <w:spacing w:line="440" w:lineRule="exact"/>
              <w:jc w:val="center"/>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1批</w:t>
            </w:r>
          </w:p>
        </w:tc>
        <w:tc>
          <w:tcPr>
            <w:tcW w:w="1625" w:type="dxa"/>
            <w:vMerge w:val="continue"/>
            <w:vAlign w:val="center"/>
          </w:tcPr>
          <w:p>
            <w:pPr>
              <w:spacing w:line="440" w:lineRule="exact"/>
              <w:rPr>
                <w:rStyle w:val="25"/>
                <w:rFonts w:hint="eastAsia" w:asciiTheme="majorEastAsia" w:hAnsiTheme="majorEastAsia" w:eastAsiaTheme="majorEastAsia" w:cstheme="majorEastAsia"/>
                <w:b w:val="0"/>
                <w:bCs/>
                <w:color w:val="auto"/>
                <w:kern w:val="2"/>
                <w:sz w:val="24"/>
                <w:szCs w:val="24"/>
                <w:highlight w:val="none"/>
                <w:lang w:val="en-US" w:eastAsia="zh-CN" w:bidi="ar-SA"/>
              </w:rPr>
            </w:pPr>
          </w:p>
        </w:tc>
        <w:tc>
          <w:tcPr>
            <w:tcW w:w="1311" w:type="dxa"/>
            <w:vMerge w:val="continue"/>
            <w:vAlign w:val="center"/>
          </w:tcPr>
          <w:p>
            <w:pPr>
              <w:spacing w:line="440" w:lineRule="exact"/>
              <w:jc w:val="center"/>
              <w:rPr>
                <w:rStyle w:val="25"/>
                <w:rFonts w:hint="eastAsia" w:asciiTheme="majorEastAsia" w:hAnsiTheme="majorEastAsia" w:eastAsiaTheme="majorEastAsia" w:cstheme="majorEastAsia"/>
                <w:b w:val="0"/>
                <w:bCs/>
                <w:color w:val="auto"/>
                <w:kern w:val="2"/>
                <w:sz w:val="24"/>
                <w:szCs w:val="24"/>
                <w:highlight w:val="none"/>
                <w:lang w:val="en-US" w:eastAsia="zh-CN" w:bidi="ar-SA"/>
              </w:rPr>
            </w:pPr>
          </w:p>
        </w:tc>
        <w:tc>
          <w:tcPr>
            <w:tcW w:w="1427" w:type="dxa"/>
            <w:vMerge w:val="continue"/>
            <w:vAlign w:val="center"/>
          </w:tcPr>
          <w:p>
            <w:pPr>
              <w:spacing w:line="440" w:lineRule="exact"/>
              <w:jc w:val="center"/>
              <w:rPr>
                <w:rStyle w:val="25"/>
                <w:rFonts w:hint="eastAsia" w:asciiTheme="majorEastAsia" w:hAnsiTheme="majorEastAsia" w:eastAsiaTheme="majorEastAsia" w:cstheme="majorEastAsia"/>
                <w:b w:val="0"/>
                <w:bCs/>
                <w:color w:val="auto"/>
                <w:kern w:val="2"/>
                <w:sz w:val="24"/>
                <w:szCs w:val="24"/>
                <w:highlight w:val="none"/>
                <w:lang w:val="en-US" w:eastAsia="zh-CN" w:bidi="ar-SA"/>
              </w:rPr>
            </w:pPr>
          </w:p>
        </w:tc>
      </w:tr>
    </w:tbl>
    <w:p>
      <w:pPr>
        <w:spacing w:line="440" w:lineRule="exact"/>
        <w:ind w:firstLine="354" w:firstLineChars="147"/>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备注：</w:t>
      </w:r>
    </w:p>
    <w:p>
      <w:pPr>
        <w:pStyle w:val="10"/>
        <w:numPr>
          <w:ilvl w:val="0"/>
          <w:numId w:val="1"/>
        </w:numPr>
        <w:tabs>
          <w:tab w:val="left" w:pos="8360"/>
        </w:tabs>
        <w:spacing w:line="440" w:lineRule="exact"/>
        <w:ind w:firstLine="477" w:firstLineChars="199"/>
        <w:jc w:val="lef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投标人按合同包投标，对同一合同包内所有品目号内容投标时必须完整。评标与授标以合同包为单位。</w:t>
      </w:r>
    </w:p>
    <w:p>
      <w:pPr>
        <w:numPr>
          <w:ilvl w:val="0"/>
          <w:numId w:val="1"/>
        </w:numPr>
        <w:spacing w:line="440" w:lineRule="exact"/>
        <w:ind w:firstLine="477" w:firstLineChars="199"/>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中标人不得转包他人，若发现转包，招标人有权终止合同，并追究相应法律责任。中标人在合同期内未经招标人同意不得擅自中止合同，违反合同的要承担由此给招标人造成的损失。</w:t>
      </w: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spacing w:before="312" w:beforeLines="100" w:after="312" w:afterLines="100" w:line="400" w:lineRule="exact"/>
        <w:jc w:val="center"/>
        <w:rPr>
          <w:rFonts w:asciiTheme="majorEastAsia" w:hAnsiTheme="majorEastAsia" w:eastAsiaTheme="majorEastAsia" w:cstheme="majorEastAsia"/>
          <w:b/>
          <w:color w:val="auto"/>
          <w:sz w:val="32"/>
          <w:szCs w:val="32"/>
          <w:highlight w:val="none"/>
        </w:rPr>
      </w:pPr>
      <w:r>
        <w:rPr>
          <w:rFonts w:hint="eastAsia" w:asciiTheme="majorEastAsia" w:hAnsiTheme="majorEastAsia" w:eastAsiaTheme="majorEastAsia" w:cstheme="majorEastAsia"/>
          <w:b/>
          <w:bCs/>
          <w:color w:val="auto"/>
          <w:kern w:val="0"/>
          <w:sz w:val="32"/>
          <w:highlight w:val="none"/>
        </w:rPr>
        <w:t>第二章   投标人须知前附表（表1）</w:t>
      </w:r>
    </w:p>
    <w:p>
      <w:pPr>
        <w:spacing w:line="360" w:lineRule="auto"/>
        <w:ind w:firstLine="354" w:firstLineChars="147"/>
        <w:outlineLvl w:val="1"/>
        <w:rPr>
          <w:rFonts w:asciiTheme="majorEastAsia" w:hAnsiTheme="majorEastAsia" w:eastAsiaTheme="majorEastAsia" w:cstheme="majorEastAsia"/>
          <w:b/>
          <w:color w:val="auto"/>
          <w:sz w:val="32"/>
          <w:szCs w:val="32"/>
          <w:highlight w:val="none"/>
        </w:rPr>
      </w:pPr>
      <w:r>
        <w:rPr>
          <w:rFonts w:hint="eastAsia" w:asciiTheme="majorEastAsia" w:hAnsiTheme="majorEastAsia" w:eastAsiaTheme="majorEastAsia" w:cstheme="majorEastAsia"/>
          <w:b/>
          <w:bCs/>
          <w:color w:val="auto"/>
          <w:kern w:val="0"/>
          <w:sz w:val="24"/>
          <w:highlight w:val="none"/>
        </w:rPr>
        <w:t>表1</w:t>
      </w:r>
    </w:p>
    <w:tbl>
      <w:tblPr>
        <w:tblStyle w:val="21"/>
        <w:tblW w:w="9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782"/>
        <w:gridCol w:w="6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9217" w:type="dxa"/>
            <w:gridSpan w:val="3"/>
            <w:vAlign w:val="center"/>
          </w:tcPr>
          <w:p>
            <w:pPr>
              <w:spacing w:line="400" w:lineRule="exact"/>
              <w:ind w:firstLine="964" w:firstLineChars="400"/>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特别提示：</w:t>
            </w:r>
            <w:r>
              <w:rPr>
                <w:rFonts w:hint="eastAsia" w:asciiTheme="majorEastAsia" w:hAnsiTheme="majorEastAsia" w:eastAsiaTheme="majorEastAsia" w:cstheme="majorEastAsia"/>
                <w:b/>
                <w:bCs/>
                <w:color w:val="auto"/>
                <w:sz w:val="24"/>
                <w:highlight w:val="none"/>
              </w:rPr>
              <w:t>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468" w:type="dxa"/>
            <w:vAlign w:val="center"/>
          </w:tcPr>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项号</w:t>
            </w:r>
          </w:p>
        </w:tc>
        <w:tc>
          <w:tcPr>
            <w:tcW w:w="1782" w:type="dxa"/>
            <w:vAlign w:val="center"/>
          </w:tcPr>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招标文件（第三章）</w:t>
            </w:r>
          </w:p>
        </w:tc>
        <w:tc>
          <w:tcPr>
            <w:tcW w:w="6967" w:type="dxa"/>
            <w:vAlign w:val="center"/>
          </w:tcPr>
          <w:p>
            <w:pPr>
              <w:spacing w:line="400" w:lineRule="exact"/>
              <w:jc w:val="center"/>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468" w:type="dxa"/>
            <w:vAlign w:val="center"/>
          </w:tcPr>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w:t>
            </w:r>
          </w:p>
        </w:tc>
        <w:tc>
          <w:tcPr>
            <w:tcW w:w="1782" w:type="dxa"/>
            <w:vAlign w:val="center"/>
          </w:tcPr>
          <w:p>
            <w:pPr>
              <w:widowControl/>
              <w:jc w:val="center"/>
              <w:rPr>
                <w:rFonts w:asciiTheme="majorEastAsia" w:hAnsiTheme="majorEastAsia" w:eastAsiaTheme="majorEastAsia" w:cstheme="majorEastAsia"/>
                <w:color w:val="auto"/>
                <w:kern w:val="0"/>
                <w:sz w:val="24"/>
                <w:highlight w:val="none"/>
              </w:rPr>
            </w:pPr>
          </w:p>
        </w:tc>
        <w:tc>
          <w:tcPr>
            <w:tcW w:w="6967" w:type="dxa"/>
            <w:vAlign w:val="center"/>
          </w:tcPr>
          <w:p>
            <w:pPr>
              <w:widowControl/>
              <w:spacing w:line="360" w:lineRule="auto"/>
              <w:jc w:val="left"/>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b w:val="0"/>
                <w:color w:val="auto"/>
                <w:sz w:val="24"/>
                <w:highlight w:val="none"/>
              </w:rPr>
              <w:t>是否组织现场考察或召开开标前答疑会：</w:t>
            </w:r>
            <w:r>
              <w:rPr>
                <w:rFonts w:hint="eastAsia" w:asciiTheme="majorEastAsia" w:hAnsiTheme="majorEastAsia" w:eastAsiaTheme="majorEastAsia" w:cstheme="majorEastAsia"/>
                <w:color w:val="auto"/>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trPr>
        <w:tc>
          <w:tcPr>
            <w:tcW w:w="468" w:type="dxa"/>
            <w:vAlign w:val="center"/>
          </w:tcPr>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w:t>
            </w:r>
          </w:p>
        </w:tc>
        <w:tc>
          <w:tcPr>
            <w:tcW w:w="1782" w:type="dxa"/>
            <w:vAlign w:val="center"/>
          </w:tcPr>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投标文件的份数</w:t>
            </w:r>
          </w:p>
        </w:tc>
        <w:tc>
          <w:tcPr>
            <w:tcW w:w="6967" w:type="dxa"/>
            <w:vAlign w:val="center"/>
          </w:tcPr>
          <w:p>
            <w:pPr>
              <w:widowControl/>
              <w:spacing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纸质投标文件：</w:t>
            </w:r>
          </w:p>
          <w:p>
            <w:pPr>
              <w:widowControl/>
              <w:numPr>
                <w:ilvl w:val="0"/>
                <w:numId w:val="2"/>
              </w:numPr>
              <w:spacing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资格及资信证明部分的正本1份、副本1份，报价部分的正本1份、副本1份，技术商务部分的正本1份、副本1份。</w:t>
            </w:r>
          </w:p>
          <w:p>
            <w:pPr>
              <w:widowControl/>
              <w:spacing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②可读介质（光盘或U盘）1份：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8" w:type="dxa"/>
            <w:vAlign w:val="center"/>
          </w:tcPr>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w:t>
            </w:r>
          </w:p>
        </w:tc>
        <w:tc>
          <w:tcPr>
            <w:tcW w:w="1782" w:type="dxa"/>
            <w:vAlign w:val="center"/>
          </w:tcPr>
          <w:p>
            <w:pPr>
              <w:widowControl/>
              <w:spacing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允许散装或活页装订的内容或材料：</w:t>
            </w:r>
          </w:p>
          <w:p>
            <w:pPr>
              <w:widowControl/>
              <w:jc w:val="left"/>
              <w:rPr>
                <w:rFonts w:asciiTheme="majorEastAsia" w:hAnsiTheme="majorEastAsia" w:eastAsiaTheme="majorEastAsia" w:cstheme="majorEastAsia"/>
                <w:color w:val="auto"/>
                <w:kern w:val="0"/>
                <w:sz w:val="24"/>
                <w:highlight w:val="none"/>
              </w:rPr>
            </w:pPr>
          </w:p>
        </w:tc>
        <w:tc>
          <w:tcPr>
            <w:tcW w:w="6967" w:type="dxa"/>
            <w:vAlign w:val="center"/>
          </w:tcPr>
          <w:p>
            <w:pPr>
              <w:widowControl/>
              <w:spacing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（1）投标文件的补充、修改或撤回；</w:t>
            </w:r>
          </w:p>
          <w:p>
            <w:pPr>
              <w:widowControl/>
              <w:spacing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（2）其他内容或材料：无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468" w:type="dxa"/>
            <w:vAlign w:val="center"/>
          </w:tcPr>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w:t>
            </w:r>
          </w:p>
        </w:tc>
        <w:tc>
          <w:tcPr>
            <w:tcW w:w="1782" w:type="dxa"/>
            <w:vAlign w:val="center"/>
          </w:tcPr>
          <w:p>
            <w:pPr>
              <w:widowControl/>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是否允许中标人将本项目的非主体、非关键性工作进行分包</w:t>
            </w:r>
          </w:p>
        </w:tc>
        <w:tc>
          <w:tcPr>
            <w:tcW w:w="6967" w:type="dxa"/>
            <w:vAlign w:val="center"/>
          </w:tcPr>
          <w:p>
            <w:pPr>
              <w:widowControl/>
              <w:spacing w:line="360" w:lineRule="exact"/>
              <w:jc w:val="left"/>
              <w:rPr>
                <w:rFonts w:asciiTheme="majorEastAsia" w:hAnsiTheme="majorEastAsia" w:eastAsiaTheme="majorEastAsia" w:cstheme="majorEastAsia"/>
                <w:color w:val="auto"/>
                <w:kern w:val="0"/>
                <w:sz w:val="24"/>
                <w:highlight w:val="none"/>
              </w:rPr>
            </w:pPr>
          </w:p>
          <w:p>
            <w:pPr>
              <w:widowControl/>
              <w:spacing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68" w:type="dxa"/>
            <w:vAlign w:val="center"/>
          </w:tcPr>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5</w:t>
            </w:r>
          </w:p>
        </w:tc>
        <w:tc>
          <w:tcPr>
            <w:tcW w:w="1782" w:type="dxa"/>
            <w:vAlign w:val="center"/>
          </w:tcPr>
          <w:p>
            <w:pPr>
              <w:widowControl/>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投标有效期</w:t>
            </w:r>
          </w:p>
        </w:tc>
        <w:tc>
          <w:tcPr>
            <w:tcW w:w="6967" w:type="dxa"/>
            <w:vAlign w:val="center"/>
          </w:tcPr>
          <w:p>
            <w:pPr>
              <w:widowControl/>
              <w:spacing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68" w:type="dxa"/>
            <w:vAlign w:val="center"/>
          </w:tcPr>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6</w:t>
            </w:r>
          </w:p>
        </w:tc>
        <w:tc>
          <w:tcPr>
            <w:tcW w:w="1782" w:type="dxa"/>
            <w:vAlign w:val="center"/>
          </w:tcPr>
          <w:p>
            <w:pPr>
              <w:widowControl/>
              <w:spacing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密封及其标记的具体形式：</w:t>
            </w:r>
          </w:p>
          <w:p>
            <w:pPr>
              <w:widowControl/>
              <w:jc w:val="center"/>
              <w:rPr>
                <w:rFonts w:asciiTheme="majorEastAsia" w:hAnsiTheme="majorEastAsia" w:eastAsiaTheme="majorEastAsia" w:cstheme="majorEastAsia"/>
                <w:color w:val="auto"/>
                <w:kern w:val="0"/>
                <w:sz w:val="24"/>
                <w:highlight w:val="none"/>
              </w:rPr>
            </w:pPr>
          </w:p>
        </w:tc>
        <w:tc>
          <w:tcPr>
            <w:tcW w:w="6967" w:type="dxa"/>
            <w:vAlign w:val="center"/>
          </w:tcPr>
          <w:p>
            <w:pPr>
              <w:widowControl/>
              <w:spacing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（1）全部纸质投标文件（包括正本、副本及可读介质）均应密封，否则投标将被拒绝。</w:t>
            </w:r>
          </w:p>
          <w:p>
            <w:pPr>
              <w:widowControl/>
              <w:spacing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（2）密封的外包装应至少标记“项目名称、</w:t>
            </w:r>
            <w:r>
              <w:rPr>
                <w:rFonts w:hint="eastAsia" w:asciiTheme="majorEastAsia" w:hAnsiTheme="majorEastAsia" w:eastAsiaTheme="majorEastAsia" w:cstheme="majorEastAsia"/>
                <w:color w:val="auto"/>
                <w:kern w:val="0"/>
                <w:sz w:val="24"/>
                <w:highlight w:val="none"/>
                <w:lang w:eastAsia="zh-CN"/>
              </w:rPr>
              <w:t>项目编号</w:t>
            </w:r>
            <w:r>
              <w:rPr>
                <w:rFonts w:hint="eastAsia" w:asciiTheme="majorEastAsia" w:hAnsiTheme="majorEastAsia" w:eastAsiaTheme="majorEastAsia" w:cstheme="majorEastAsia"/>
                <w:color w:val="auto"/>
                <w:kern w:val="0"/>
                <w:sz w:val="24"/>
                <w:highlight w:val="none"/>
              </w:rPr>
              <w:t>、所投合同包、投标人的全称”等内容，否则造成投标文件误投、遗漏或提前拆封的，莆田市信成造价咨询有限公司不承担责任。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468" w:type="dxa"/>
            <w:vAlign w:val="center"/>
          </w:tcPr>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7</w:t>
            </w:r>
          </w:p>
        </w:tc>
        <w:tc>
          <w:tcPr>
            <w:tcW w:w="1782" w:type="dxa"/>
            <w:vAlign w:val="center"/>
          </w:tcPr>
          <w:p>
            <w:pPr>
              <w:widowControl/>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推荐候选人</w:t>
            </w:r>
          </w:p>
        </w:tc>
        <w:tc>
          <w:tcPr>
            <w:tcW w:w="6967" w:type="dxa"/>
            <w:vAlign w:val="center"/>
          </w:tcPr>
          <w:p>
            <w:pPr>
              <w:widowControl/>
              <w:spacing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本项目推荐合同包1中标候选人数为1家。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0" w:hRule="atLeast"/>
        </w:trPr>
        <w:tc>
          <w:tcPr>
            <w:tcW w:w="468" w:type="dxa"/>
            <w:vAlign w:val="center"/>
          </w:tcPr>
          <w:p>
            <w:pPr>
              <w:widowControl/>
              <w:jc w:val="left"/>
              <w:rPr>
                <w:rFonts w:hint="eastAsia" w:asciiTheme="majorEastAsia" w:hAnsiTheme="majorEastAsia" w:eastAsiaTheme="majorEastAsia" w:cstheme="majorEastAsia"/>
                <w:color w:val="auto"/>
                <w:kern w:val="0"/>
                <w:sz w:val="24"/>
                <w:highlight w:val="none"/>
                <w:lang w:eastAsia="zh-CN"/>
              </w:rPr>
            </w:pPr>
            <w:r>
              <w:rPr>
                <w:rFonts w:hint="eastAsia" w:asciiTheme="majorEastAsia" w:hAnsiTheme="majorEastAsia" w:eastAsiaTheme="majorEastAsia" w:cstheme="majorEastAsia"/>
                <w:color w:val="auto"/>
                <w:kern w:val="0"/>
                <w:sz w:val="24"/>
                <w:highlight w:val="none"/>
              </w:rPr>
              <w:t xml:space="preserve">  </w:t>
            </w:r>
            <w:r>
              <w:rPr>
                <w:rFonts w:hint="eastAsia" w:asciiTheme="majorEastAsia" w:hAnsiTheme="majorEastAsia" w:eastAsiaTheme="majorEastAsia" w:cstheme="majorEastAsia"/>
                <w:color w:val="auto"/>
                <w:kern w:val="0"/>
                <w:sz w:val="24"/>
                <w:highlight w:val="none"/>
                <w:lang w:val="en-US" w:eastAsia="zh-CN"/>
              </w:rPr>
              <w:t>8</w:t>
            </w:r>
          </w:p>
        </w:tc>
        <w:tc>
          <w:tcPr>
            <w:tcW w:w="1782" w:type="dxa"/>
            <w:vAlign w:val="center"/>
          </w:tcPr>
          <w:p>
            <w:pPr>
              <w:widowControl/>
              <w:jc w:val="left"/>
              <w:rPr>
                <w:rFonts w:asciiTheme="majorEastAsia" w:hAnsiTheme="majorEastAsia" w:eastAsiaTheme="majorEastAsia" w:cstheme="majorEastAsia"/>
                <w:color w:val="auto"/>
                <w:kern w:val="0"/>
                <w:sz w:val="24"/>
                <w:highlight w:val="none"/>
              </w:rPr>
            </w:pPr>
            <w:r>
              <w:rPr>
                <w:rStyle w:val="25"/>
                <w:rFonts w:hint="eastAsia" w:asciiTheme="majorEastAsia" w:hAnsiTheme="majorEastAsia" w:eastAsiaTheme="majorEastAsia" w:cstheme="majorEastAsia"/>
                <w:color w:val="auto"/>
                <w:highlight w:val="none"/>
              </w:rPr>
              <w:t>本项目中标人的确定（以合同包为单位）</w:t>
            </w:r>
          </w:p>
        </w:tc>
        <w:tc>
          <w:tcPr>
            <w:tcW w:w="6967" w:type="dxa"/>
            <w:vAlign w:val="center"/>
          </w:tcPr>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（1）采购人应在政府采购招投标管理办法规定的时限内确定中标人。</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（2）若出现中标候选人并列情形，则按照下列方式确定中标人：</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①招标文件规定的方式：无。</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②若本款第①点规定方式为“无”，则按照下列方式确定：无。</w:t>
            </w:r>
          </w:p>
          <w:p>
            <w:pPr>
              <w:pStyle w:val="18"/>
              <w:widowControl/>
              <w:rPr>
                <w:rFonts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color w:val="auto"/>
                <w:highlight w:val="none"/>
              </w:rPr>
              <w:t>③若本款第①、②点规定方式均为“无”，则按照下列方式确定：</w:t>
            </w:r>
            <w:r>
              <w:rPr>
                <w:rFonts w:hint="eastAsia" w:asciiTheme="majorEastAsia" w:hAnsiTheme="majorEastAsia" w:eastAsiaTheme="majorEastAsia" w:cstheme="majorEastAsia"/>
                <w:b/>
                <w:bCs/>
                <w:color w:val="auto"/>
                <w:highlight w:val="none"/>
              </w:rPr>
              <w:t>随机抽取。</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（3）本项目确定的中标人家数：</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①本项目确定合同包1中标人数为1家；</w:t>
            </w:r>
          </w:p>
          <w:p>
            <w:pPr>
              <w:widowControl/>
              <w:spacing w:line="360" w:lineRule="exact"/>
              <w:jc w:val="lef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4"/>
                <w:highlight w:val="none"/>
              </w:rPr>
              <w:t>②若出现中标候选人符合法定家数但不足本款第①点规定中标人家数情形，则按照中标候选人的实际家数确定中标人。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468" w:type="dxa"/>
            <w:vAlign w:val="center"/>
          </w:tcPr>
          <w:p>
            <w:pPr>
              <w:widowControl/>
              <w:jc w:val="center"/>
              <w:rPr>
                <w:rFonts w:hint="eastAsia" w:asciiTheme="majorEastAsia" w:hAnsiTheme="majorEastAsia" w:eastAsiaTheme="majorEastAsia" w:cstheme="majorEastAsia"/>
                <w:color w:val="auto"/>
                <w:kern w:val="0"/>
                <w:sz w:val="24"/>
                <w:highlight w:val="none"/>
                <w:lang w:eastAsia="zh-CN"/>
              </w:rPr>
            </w:pPr>
            <w:r>
              <w:rPr>
                <w:rFonts w:hint="eastAsia" w:asciiTheme="majorEastAsia" w:hAnsiTheme="majorEastAsia" w:eastAsiaTheme="majorEastAsia" w:cstheme="majorEastAsia"/>
                <w:color w:val="auto"/>
                <w:kern w:val="0"/>
                <w:sz w:val="24"/>
                <w:highlight w:val="none"/>
                <w:lang w:val="en-US" w:eastAsia="zh-CN"/>
              </w:rPr>
              <w:t>9</w:t>
            </w:r>
          </w:p>
        </w:tc>
        <w:tc>
          <w:tcPr>
            <w:tcW w:w="1782" w:type="dxa"/>
            <w:vAlign w:val="center"/>
          </w:tcPr>
          <w:p>
            <w:pPr>
              <w:widowControl/>
              <w:rPr>
                <w:rStyle w:val="25"/>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sz w:val="24"/>
                <w:highlight w:val="none"/>
              </w:rPr>
              <w:t>质疑函原件应采用下列方式提交</w:t>
            </w:r>
          </w:p>
        </w:tc>
        <w:tc>
          <w:tcPr>
            <w:tcW w:w="6967" w:type="dxa"/>
            <w:vAlign w:val="center"/>
          </w:tcPr>
          <w:p>
            <w:pPr>
              <w:widowControl/>
              <w:spacing w:line="360" w:lineRule="exact"/>
              <w:jc w:val="lef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68" w:type="dxa"/>
            <w:vAlign w:val="center"/>
          </w:tcPr>
          <w:p>
            <w:pPr>
              <w:widowControl/>
              <w:jc w:val="center"/>
              <w:rPr>
                <w:rFonts w:hint="eastAsia" w:asciiTheme="majorEastAsia" w:hAnsiTheme="majorEastAsia" w:eastAsiaTheme="majorEastAsia" w:cstheme="majorEastAsia"/>
                <w:color w:val="auto"/>
                <w:kern w:val="0"/>
                <w:sz w:val="24"/>
                <w:highlight w:val="none"/>
                <w:lang w:eastAsia="zh-CN"/>
              </w:rPr>
            </w:pPr>
            <w:r>
              <w:rPr>
                <w:rFonts w:hint="eastAsia" w:asciiTheme="majorEastAsia" w:hAnsiTheme="majorEastAsia" w:eastAsiaTheme="majorEastAsia" w:cstheme="majorEastAsia"/>
                <w:color w:val="auto"/>
                <w:kern w:val="0"/>
                <w:sz w:val="24"/>
                <w:highlight w:val="none"/>
              </w:rPr>
              <w:t>1</w:t>
            </w:r>
            <w:r>
              <w:rPr>
                <w:rFonts w:hint="eastAsia" w:asciiTheme="majorEastAsia" w:hAnsiTheme="majorEastAsia" w:eastAsiaTheme="majorEastAsia" w:cstheme="majorEastAsia"/>
                <w:color w:val="auto"/>
                <w:kern w:val="0"/>
                <w:sz w:val="24"/>
                <w:highlight w:val="none"/>
                <w:lang w:val="en-US" w:eastAsia="zh-CN"/>
              </w:rPr>
              <w:t>0</w:t>
            </w:r>
          </w:p>
        </w:tc>
        <w:tc>
          <w:tcPr>
            <w:tcW w:w="1782" w:type="dxa"/>
            <w:vAlign w:val="center"/>
          </w:tcPr>
          <w:p>
            <w:pPr>
              <w:widowControl/>
              <w:spacing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 </w:t>
            </w:r>
            <w:r>
              <w:rPr>
                <w:rFonts w:hint="eastAsia" w:asciiTheme="majorEastAsia" w:hAnsiTheme="majorEastAsia" w:eastAsiaTheme="majorEastAsia" w:cstheme="majorEastAsia"/>
                <w:b/>
                <w:bCs/>
                <w:color w:val="auto"/>
                <w:kern w:val="0"/>
                <w:sz w:val="24"/>
                <w:highlight w:val="none"/>
              </w:rPr>
              <w:t>招标文件的质疑</w:t>
            </w:r>
          </w:p>
          <w:p>
            <w:pPr>
              <w:widowControl/>
              <w:jc w:val="left"/>
              <w:rPr>
                <w:rFonts w:asciiTheme="majorEastAsia" w:hAnsiTheme="majorEastAsia" w:eastAsiaTheme="majorEastAsia" w:cstheme="majorEastAsia"/>
                <w:color w:val="auto"/>
                <w:kern w:val="0"/>
                <w:sz w:val="24"/>
                <w:highlight w:val="none"/>
              </w:rPr>
            </w:pPr>
          </w:p>
        </w:tc>
        <w:tc>
          <w:tcPr>
            <w:tcW w:w="6967" w:type="dxa"/>
            <w:vAlign w:val="center"/>
          </w:tcPr>
          <w:p>
            <w:pPr>
              <w:pStyle w:val="18"/>
              <w:widowControl/>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（1）潜在投标人可在质疑时效期间内对招标文件以书面形式提出质疑。</w:t>
            </w:r>
          </w:p>
          <w:p>
            <w:pPr>
              <w:pStyle w:val="18"/>
              <w:widowControl/>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（2）质疑时效期间：应在依法获取招标文件之日起7个工作日内以书面形式向采购人、采购代理机构提出质疑。供应商在法定质疑期内一次性提出针对同一采购程序环节的质疑。</w:t>
            </w:r>
          </w:p>
          <w:p>
            <w:pPr>
              <w:pStyle w:val="18"/>
              <w:widowControl/>
              <w:rPr>
                <w:rFonts w:asciiTheme="majorEastAsia" w:hAnsiTheme="majorEastAsia" w:eastAsiaTheme="majorEastAsia" w:cstheme="majorEastAsia"/>
                <w:color w:val="auto"/>
                <w:kern w:val="0"/>
                <w:highlight w:val="none"/>
              </w:rPr>
            </w:pPr>
            <w:r>
              <w:rPr>
                <w:rFonts w:hint="eastAsia" w:asciiTheme="majorEastAsia" w:hAnsiTheme="majorEastAsia" w:eastAsiaTheme="majorEastAsia" w:cstheme="majorEastAsia"/>
                <w:color w:val="auto"/>
                <w:highlight w:val="none"/>
              </w:rPr>
              <w:t>※除上述规定外，对招标文件提出的质疑还应符合招标文件第三章第15.1条的有关规定。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468" w:type="dxa"/>
            <w:vAlign w:val="center"/>
          </w:tcPr>
          <w:p>
            <w:pPr>
              <w:widowControl/>
              <w:jc w:val="center"/>
              <w:rPr>
                <w:rFonts w:hint="eastAsia" w:asciiTheme="majorEastAsia" w:hAnsiTheme="majorEastAsia" w:eastAsiaTheme="majorEastAsia" w:cstheme="majorEastAsia"/>
                <w:color w:val="auto"/>
                <w:kern w:val="0"/>
                <w:sz w:val="24"/>
                <w:highlight w:val="none"/>
                <w:lang w:eastAsia="zh-CN"/>
              </w:rPr>
            </w:pPr>
            <w:r>
              <w:rPr>
                <w:rFonts w:hint="eastAsia" w:asciiTheme="majorEastAsia" w:hAnsiTheme="majorEastAsia" w:eastAsiaTheme="majorEastAsia" w:cstheme="majorEastAsia"/>
                <w:color w:val="auto"/>
                <w:kern w:val="0"/>
                <w:sz w:val="24"/>
                <w:highlight w:val="none"/>
              </w:rPr>
              <w:t>1</w:t>
            </w:r>
            <w:r>
              <w:rPr>
                <w:rFonts w:hint="eastAsia" w:asciiTheme="majorEastAsia" w:hAnsiTheme="majorEastAsia" w:eastAsiaTheme="majorEastAsia" w:cstheme="majorEastAsia"/>
                <w:color w:val="auto"/>
                <w:kern w:val="0"/>
                <w:sz w:val="24"/>
                <w:highlight w:val="none"/>
                <w:lang w:val="en-US" w:eastAsia="zh-CN"/>
              </w:rPr>
              <w:t>1</w:t>
            </w:r>
          </w:p>
        </w:tc>
        <w:tc>
          <w:tcPr>
            <w:tcW w:w="1782" w:type="dxa"/>
            <w:vAlign w:val="center"/>
          </w:tcPr>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Cs/>
                <w:color w:val="auto"/>
                <w:kern w:val="0"/>
                <w:sz w:val="24"/>
                <w:highlight w:val="none"/>
              </w:rPr>
              <w:t>监督管理部门</w:t>
            </w:r>
          </w:p>
        </w:tc>
        <w:tc>
          <w:tcPr>
            <w:tcW w:w="6967" w:type="dxa"/>
            <w:vAlign w:val="center"/>
          </w:tcPr>
          <w:p>
            <w:pPr>
              <w:widowControl/>
              <w:spacing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bCs/>
                <w:color w:val="auto"/>
                <w:sz w:val="24"/>
                <w:highlight w:val="none"/>
              </w:rPr>
              <w:t xml:space="preserve">莆田市人民政府国有资产管理监督委员会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68" w:type="dxa"/>
            <w:vAlign w:val="center"/>
          </w:tcPr>
          <w:p>
            <w:pPr>
              <w:widowControl/>
              <w:jc w:val="center"/>
              <w:rPr>
                <w:rFonts w:hint="eastAsia" w:asciiTheme="majorEastAsia" w:hAnsiTheme="majorEastAsia" w:eastAsiaTheme="majorEastAsia" w:cstheme="majorEastAsia"/>
                <w:color w:val="auto"/>
                <w:kern w:val="0"/>
                <w:sz w:val="24"/>
                <w:highlight w:val="none"/>
                <w:lang w:eastAsia="zh-CN"/>
              </w:rPr>
            </w:pPr>
            <w:r>
              <w:rPr>
                <w:rFonts w:hint="eastAsia" w:asciiTheme="majorEastAsia" w:hAnsiTheme="majorEastAsia" w:eastAsiaTheme="majorEastAsia" w:cstheme="majorEastAsia"/>
                <w:color w:val="auto"/>
                <w:kern w:val="0"/>
                <w:sz w:val="24"/>
                <w:highlight w:val="none"/>
              </w:rPr>
              <w:t>1</w:t>
            </w:r>
            <w:r>
              <w:rPr>
                <w:rFonts w:hint="eastAsia" w:asciiTheme="majorEastAsia" w:hAnsiTheme="majorEastAsia" w:eastAsiaTheme="majorEastAsia" w:cstheme="majorEastAsia"/>
                <w:color w:val="auto"/>
                <w:kern w:val="0"/>
                <w:sz w:val="24"/>
                <w:highlight w:val="none"/>
                <w:lang w:val="en-US" w:eastAsia="zh-CN"/>
              </w:rPr>
              <w:t>2</w:t>
            </w:r>
          </w:p>
        </w:tc>
        <w:tc>
          <w:tcPr>
            <w:tcW w:w="1782" w:type="dxa"/>
            <w:vAlign w:val="center"/>
          </w:tcPr>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指定媒体</w:t>
            </w:r>
          </w:p>
        </w:tc>
        <w:tc>
          <w:tcPr>
            <w:tcW w:w="6967" w:type="dxa"/>
            <w:vAlign w:val="center"/>
          </w:tcPr>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政府采购信息发布媒体（以下简称：“指定媒体”）：</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（1）中国政府采购网</w:t>
            </w:r>
          </w:p>
          <w:p>
            <w:pPr>
              <w:pStyle w:val="18"/>
              <w:widowControl/>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（2）莆田市公共资源交易中心网</w:t>
            </w:r>
          </w:p>
          <w:p>
            <w:pPr>
              <w:pStyle w:val="18"/>
              <w:widowControl/>
              <w:rPr>
                <w:rFonts w:hint="default" w:eastAsiaTheme="majorEastAsia"/>
                <w:color w:val="auto"/>
                <w:highlight w:val="none"/>
                <w:lang w:val="en-US" w:eastAsia="zh-CN"/>
              </w:rPr>
            </w:pPr>
            <w:r>
              <w:rPr>
                <w:rFonts w:hint="eastAsia" w:asciiTheme="majorEastAsia" w:hAnsiTheme="majorEastAsia" w:eastAsiaTheme="majorEastAsia" w:cstheme="majorEastAsia"/>
                <w:color w:val="auto"/>
                <w:highlight w:val="none"/>
                <w:lang w:eastAsia="zh-CN"/>
              </w:rPr>
              <w:t>（</w:t>
            </w:r>
            <w:r>
              <w:rPr>
                <w:rFonts w:hint="eastAsia" w:asciiTheme="majorEastAsia" w:hAnsiTheme="majorEastAsia" w:eastAsiaTheme="majorEastAsia" w:cstheme="majorEastAsia"/>
                <w:color w:val="auto"/>
                <w:highlight w:val="none"/>
                <w:lang w:val="en-US" w:eastAsia="zh-CN"/>
              </w:rPr>
              <w:t>3）莆田市振兴乡村集团有限公司官网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468" w:type="dxa"/>
            <w:vAlign w:val="center"/>
          </w:tcPr>
          <w:p>
            <w:pPr>
              <w:spacing w:line="400" w:lineRule="exact"/>
              <w:jc w:val="center"/>
              <w:rPr>
                <w:rFonts w:hint="eastAsia" w:asciiTheme="majorEastAsia" w:hAnsiTheme="majorEastAsia" w:eastAsiaTheme="majorEastAsia" w:cstheme="majorEastAsia"/>
                <w:color w:val="auto"/>
                <w:sz w:val="24"/>
                <w:highlight w:val="none"/>
                <w:lang w:eastAsia="zh-CN"/>
              </w:rPr>
            </w:pPr>
            <w:r>
              <w:rPr>
                <w:rFonts w:hint="eastAsia" w:asciiTheme="majorEastAsia" w:hAnsiTheme="majorEastAsia" w:eastAsiaTheme="majorEastAsia" w:cstheme="majorEastAsia"/>
                <w:color w:val="auto"/>
                <w:sz w:val="24"/>
                <w:highlight w:val="none"/>
              </w:rPr>
              <w:t>1</w:t>
            </w:r>
            <w:r>
              <w:rPr>
                <w:rFonts w:hint="eastAsia" w:asciiTheme="majorEastAsia" w:hAnsiTheme="majorEastAsia" w:eastAsiaTheme="majorEastAsia" w:cstheme="majorEastAsia"/>
                <w:color w:val="auto"/>
                <w:sz w:val="24"/>
                <w:highlight w:val="none"/>
                <w:lang w:val="en-US" w:eastAsia="zh-CN"/>
              </w:rPr>
              <w:t>3</w:t>
            </w:r>
          </w:p>
        </w:tc>
        <w:tc>
          <w:tcPr>
            <w:tcW w:w="1782" w:type="dxa"/>
            <w:vAlign w:val="center"/>
          </w:tcPr>
          <w:p>
            <w:pPr>
              <w:spacing w:line="400" w:lineRule="exact"/>
              <w:jc w:val="center"/>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投标保证金</w:t>
            </w:r>
          </w:p>
        </w:tc>
        <w:tc>
          <w:tcPr>
            <w:tcW w:w="6967" w:type="dxa"/>
            <w:vAlign w:val="center"/>
          </w:tcPr>
          <w:p>
            <w:pPr>
              <w:pStyle w:val="6"/>
              <w:snapToGrid w:val="0"/>
              <w:spacing w:line="440" w:lineRule="exact"/>
              <w:ind w:firstLine="480" w:firstLineChars="200"/>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color w:val="auto"/>
                <w:sz w:val="24"/>
                <w:highlight w:val="none"/>
              </w:rPr>
              <w:t>本批招标投标保证金</w:t>
            </w:r>
            <w:r>
              <w:rPr>
                <w:rFonts w:hint="eastAsia" w:asciiTheme="majorEastAsia" w:hAnsiTheme="majorEastAsia" w:eastAsiaTheme="majorEastAsia" w:cstheme="majorEastAsia"/>
                <w:bCs/>
                <w:color w:val="auto"/>
                <w:sz w:val="24"/>
                <w:highlight w:val="none"/>
              </w:rPr>
              <w:t>为</w:t>
            </w:r>
            <w:r>
              <w:rPr>
                <w:rFonts w:hint="eastAsia" w:asciiTheme="majorEastAsia" w:hAnsiTheme="majorEastAsia" w:eastAsiaTheme="majorEastAsia" w:cstheme="majorEastAsia"/>
                <w:bCs/>
                <w:color w:val="auto"/>
                <w:kern w:val="0"/>
                <w:sz w:val="24"/>
                <w:highlight w:val="none"/>
              </w:rPr>
              <w:t>人民币壹拾叁万伍仟元整(¥</w:t>
            </w:r>
            <w:r>
              <w:rPr>
                <w:rFonts w:hint="eastAsia" w:asciiTheme="majorEastAsia" w:hAnsiTheme="majorEastAsia" w:eastAsiaTheme="majorEastAsia" w:cstheme="majorEastAsia"/>
                <w:bCs/>
                <w:color w:val="auto"/>
                <w:kern w:val="0"/>
                <w:sz w:val="24"/>
                <w:highlight w:val="none"/>
                <w:lang w:val="en-US" w:eastAsia="zh-CN"/>
              </w:rPr>
              <w:t>135000元</w:t>
            </w:r>
            <w:r>
              <w:rPr>
                <w:rFonts w:hint="eastAsia" w:asciiTheme="majorEastAsia" w:hAnsiTheme="majorEastAsia" w:eastAsiaTheme="majorEastAsia" w:cstheme="majorEastAsia"/>
                <w:bCs/>
                <w:color w:val="auto"/>
                <w:kern w:val="0"/>
                <w:sz w:val="24"/>
                <w:highlight w:val="none"/>
              </w:rPr>
              <w:t>)，</w:t>
            </w:r>
            <w:r>
              <w:rPr>
                <w:rFonts w:hint="eastAsia" w:asciiTheme="majorEastAsia" w:hAnsiTheme="majorEastAsia" w:eastAsiaTheme="majorEastAsia" w:cstheme="majorEastAsia"/>
                <w:color w:val="auto"/>
                <w:sz w:val="24"/>
                <w:highlight w:val="none"/>
              </w:rPr>
              <w:t>保证金必须以</w:t>
            </w:r>
            <w:r>
              <w:rPr>
                <w:rFonts w:hint="eastAsia" w:asciiTheme="majorEastAsia" w:hAnsiTheme="majorEastAsia" w:eastAsiaTheme="majorEastAsia" w:cstheme="majorEastAsia"/>
                <w:b/>
                <w:color w:val="auto"/>
                <w:sz w:val="24"/>
                <w:highlight w:val="none"/>
              </w:rPr>
              <w:t>投标人银行帐户公对公</w:t>
            </w:r>
            <w:r>
              <w:rPr>
                <w:rFonts w:hint="eastAsia" w:asciiTheme="majorEastAsia" w:hAnsiTheme="majorEastAsia" w:eastAsiaTheme="majorEastAsia" w:cstheme="majorEastAsia"/>
                <w:color w:val="auto"/>
                <w:sz w:val="24"/>
                <w:highlight w:val="none"/>
              </w:rPr>
              <w:t>转账至（开户名—莆田市信成造价咨询有限公司，</w:t>
            </w:r>
            <w:r>
              <w:rPr>
                <w:rFonts w:hint="eastAsia" w:ascii="宋体" w:hAnsi="宋体"/>
                <w:color w:val="auto"/>
                <w:sz w:val="24"/>
                <w:highlight w:val="none"/>
              </w:rPr>
              <w:t>开户行</w:t>
            </w:r>
            <w:r>
              <w:rPr>
                <w:rFonts w:hint="eastAsia" w:asciiTheme="majorEastAsia" w:hAnsiTheme="majorEastAsia" w:eastAsiaTheme="majorEastAsia" w:cstheme="majorEastAsia"/>
                <w:color w:val="auto"/>
                <w:sz w:val="24"/>
                <w:highlight w:val="none"/>
              </w:rPr>
              <w:t>—</w:t>
            </w:r>
            <w:r>
              <w:rPr>
                <w:rFonts w:hint="eastAsia" w:ascii="宋体" w:hAnsi="宋体" w:cs="宋体"/>
                <w:color w:val="auto"/>
                <w:sz w:val="24"/>
                <w:highlight w:val="none"/>
              </w:rPr>
              <w:t>农业银行莆田市府分理处</w:t>
            </w:r>
            <w:r>
              <w:rPr>
                <w:rFonts w:hint="eastAsia" w:ascii="宋体" w:hAnsi="宋体"/>
                <w:color w:val="auto"/>
                <w:sz w:val="24"/>
                <w:highlight w:val="none"/>
              </w:rPr>
              <w:t>，帐号</w:t>
            </w:r>
            <w:r>
              <w:rPr>
                <w:rFonts w:hint="eastAsia" w:asciiTheme="majorEastAsia" w:hAnsiTheme="majorEastAsia" w:eastAsiaTheme="majorEastAsia" w:cstheme="majorEastAsia"/>
                <w:color w:val="auto"/>
                <w:sz w:val="24"/>
                <w:highlight w:val="none"/>
              </w:rPr>
              <w:t>—</w:t>
            </w:r>
            <w:r>
              <w:rPr>
                <w:rFonts w:hint="eastAsia" w:ascii="宋体" w:hAnsi="宋体" w:cs="宋体"/>
                <w:color w:val="auto"/>
                <w:sz w:val="24"/>
                <w:highlight w:val="none"/>
              </w:rPr>
              <w:t>13441501040003588</w:t>
            </w:r>
            <w:r>
              <w:rPr>
                <w:rFonts w:hint="eastAsia" w:asciiTheme="majorEastAsia" w:hAnsiTheme="majorEastAsia" w:eastAsiaTheme="majorEastAsia" w:cstheme="majorEastAsia"/>
                <w:color w:val="auto"/>
                <w:sz w:val="24"/>
                <w:highlight w:val="none"/>
              </w:rPr>
              <w:t>）,以款到账户为准，不接受汇票。投标人在缴纳保证金时必须以公司的账户缴纳，不得以投标代表个人的名称缴纳。</w:t>
            </w:r>
            <w:r>
              <w:rPr>
                <w:rFonts w:hint="eastAsia" w:asciiTheme="majorEastAsia" w:hAnsiTheme="majorEastAsia" w:eastAsiaTheme="majorEastAsia" w:cstheme="majorEastAsia"/>
                <w:b/>
                <w:color w:val="auto"/>
                <w:sz w:val="24"/>
                <w:highlight w:val="none"/>
              </w:rPr>
              <w:t>保证金未按规定时间到账或提交投标保证金的汇款人名称与投标人名称不一致的，其投标将被拒绝。</w:t>
            </w:r>
          </w:p>
          <w:p>
            <w:pPr>
              <w:widowControl/>
              <w:spacing w:line="400" w:lineRule="exact"/>
              <w:jc w:val="left"/>
              <w:rPr>
                <w:rFonts w:asciiTheme="majorEastAsia" w:hAnsiTheme="majorEastAsia" w:eastAsiaTheme="majorEastAsia" w:cstheme="majorEastAsia"/>
                <w:b/>
                <w:color w:val="auto"/>
                <w:kern w:val="0"/>
                <w:sz w:val="24"/>
                <w:highlight w:val="none"/>
              </w:rPr>
            </w:pPr>
            <w:r>
              <w:rPr>
                <w:rFonts w:hint="eastAsia" w:asciiTheme="majorEastAsia" w:hAnsiTheme="majorEastAsia" w:eastAsiaTheme="majorEastAsia" w:cstheme="majorEastAsia"/>
                <w:b/>
                <w:color w:val="auto"/>
                <w:sz w:val="24"/>
                <w:highlight w:val="none"/>
              </w:rPr>
              <w:t>注：投标保证金转账时请注明所投项目的项目编号。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400" w:lineRule="exact"/>
              <w:jc w:val="center"/>
              <w:rPr>
                <w:rFonts w:hint="eastAsia" w:asciiTheme="majorEastAsia" w:hAnsiTheme="majorEastAsia" w:eastAsiaTheme="majorEastAsia" w:cstheme="majorEastAsia"/>
                <w:color w:val="auto"/>
                <w:sz w:val="24"/>
                <w:highlight w:val="none"/>
                <w:lang w:eastAsia="zh-CN"/>
              </w:rPr>
            </w:pPr>
            <w:r>
              <w:rPr>
                <w:rFonts w:hint="eastAsia" w:asciiTheme="majorEastAsia" w:hAnsiTheme="majorEastAsia" w:eastAsiaTheme="majorEastAsia" w:cstheme="majorEastAsia"/>
                <w:color w:val="auto"/>
                <w:sz w:val="24"/>
                <w:highlight w:val="none"/>
              </w:rPr>
              <w:t>1</w:t>
            </w:r>
            <w:r>
              <w:rPr>
                <w:rFonts w:hint="eastAsia" w:asciiTheme="majorEastAsia" w:hAnsiTheme="majorEastAsia" w:eastAsiaTheme="majorEastAsia" w:cstheme="majorEastAsia"/>
                <w:color w:val="auto"/>
                <w:sz w:val="24"/>
                <w:highlight w:val="none"/>
                <w:lang w:val="en-US" w:eastAsia="zh-CN"/>
              </w:rPr>
              <w:t>4</w:t>
            </w:r>
          </w:p>
        </w:tc>
        <w:tc>
          <w:tcPr>
            <w:tcW w:w="1782" w:type="dxa"/>
            <w:vAlign w:val="center"/>
          </w:tcPr>
          <w:p>
            <w:pPr>
              <w:spacing w:line="400" w:lineRule="exact"/>
              <w:jc w:val="center"/>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b/>
                <w:color w:val="auto"/>
                <w:sz w:val="24"/>
                <w:highlight w:val="none"/>
              </w:rPr>
              <w:t>招标服务费</w:t>
            </w:r>
          </w:p>
        </w:tc>
        <w:tc>
          <w:tcPr>
            <w:tcW w:w="6967" w:type="dxa"/>
            <w:vAlign w:val="center"/>
          </w:tcPr>
          <w:p>
            <w:pPr>
              <w:spacing w:line="400" w:lineRule="exac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bCs/>
                <w:color w:val="auto"/>
                <w:kern w:val="0"/>
                <w:sz w:val="24"/>
                <w:highlight w:val="none"/>
              </w:rPr>
              <w:t>①</w:t>
            </w:r>
            <w:r>
              <w:rPr>
                <w:rFonts w:hint="eastAsia" w:asciiTheme="majorEastAsia" w:hAnsiTheme="majorEastAsia" w:eastAsiaTheme="majorEastAsia" w:cstheme="majorEastAsia"/>
                <w:color w:val="auto"/>
                <w:sz w:val="24"/>
                <w:highlight w:val="none"/>
              </w:rPr>
              <w:t>中标人向招标代理公司按中标总价计算代理费。中标人应在领取中标通知书前以转账、现金等付款方式一次性缴清，按以下收费标准的</w:t>
            </w:r>
            <w:r>
              <w:rPr>
                <w:rFonts w:hint="eastAsia" w:asciiTheme="majorEastAsia" w:hAnsiTheme="majorEastAsia" w:eastAsiaTheme="majorEastAsia" w:cstheme="majorEastAsia"/>
                <w:color w:val="auto"/>
                <w:sz w:val="24"/>
                <w:highlight w:val="none"/>
                <w:lang w:val="en-US" w:eastAsia="zh-CN"/>
              </w:rPr>
              <w:t>25</w:t>
            </w:r>
            <w:r>
              <w:rPr>
                <w:rFonts w:hint="eastAsia" w:asciiTheme="majorEastAsia" w:hAnsiTheme="majorEastAsia" w:eastAsiaTheme="majorEastAsia" w:cstheme="majorEastAsia"/>
                <w:color w:val="auto"/>
                <w:sz w:val="24"/>
                <w:highlight w:val="none"/>
              </w:rPr>
              <w:t xml:space="preserve">%向招标代理人缴纳招标服务费(其中包含该项目采购有跟标或增加补充而产生的采购金额。但若采购人的实际采购金额低于中标总金额的，招标代理人将不予退还原缴纳的费用)，具体国家缴纳标准比例为：    </w:t>
            </w:r>
          </w:p>
          <w:p>
            <w:pPr>
              <w:spacing w:line="400" w:lineRule="exac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总金额在100万元以下的部分按1.5%缴纳</w:t>
            </w:r>
          </w:p>
          <w:p>
            <w:pPr>
              <w:spacing w:line="400" w:lineRule="exac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总金额在100万—500万元的部分按1.1%缴纳</w:t>
            </w:r>
          </w:p>
          <w:p>
            <w:pPr>
              <w:spacing w:line="400" w:lineRule="exac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总金额在500万—1000万元的部分按0.8%缴纳</w:t>
            </w:r>
          </w:p>
          <w:p>
            <w:pPr>
              <w:spacing w:line="400" w:lineRule="exac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总金额在1000万—5000万元的部分按0.5%缴纳</w:t>
            </w:r>
          </w:p>
          <w:p>
            <w:pPr>
              <w:spacing w:after="156" w:afterLines="50" w:line="400" w:lineRule="exac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bCs/>
                <w:color w:val="auto"/>
                <w:kern w:val="0"/>
                <w:sz w:val="24"/>
                <w:highlight w:val="none"/>
              </w:rPr>
              <w:t>②招标服务费缴纳账户：开户名--莆田市信成造价咨询有限公司，开户行—中国光大银行莆田分行，账号-- 79880188000047251。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400" w:lineRule="exact"/>
              <w:jc w:val="center"/>
              <w:rPr>
                <w:rFonts w:hint="eastAsia" w:asciiTheme="majorEastAsia" w:hAnsiTheme="majorEastAsia" w:eastAsiaTheme="majorEastAsia" w:cstheme="majorEastAsia"/>
                <w:color w:val="auto"/>
                <w:sz w:val="24"/>
                <w:highlight w:val="none"/>
                <w:lang w:eastAsia="zh-CN"/>
              </w:rPr>
            </w:pPr>
            <w:r>
              <w:rPr>
                <w:rFonts w:hint="eastAsia" w:asciiTheme="majorEastAsia" w:hAnsiTheme="majorEastAsia" w:eastAsiaTheme="majorEastAsia" w:cstheme="majorEastAsia"/>
                <w:color w:val="auto"/>
                <w:sz w:val="24"/>
                <w:highlight w:val="none"/>
              </w:rPr>
              <w:t>1</w:t>
            </w:r>
            <w:r>
              <w:rPr>
                <w:rFonts w:hint="eastAsia" w:asciiTheme="majorEastAsia" w:hAnsiTheme="majorEastAsia" w:eastAsiaTheme="majorEastAsia" w:cstheme="majorEastAsia"/>
                <w:color w:val="auto"/>
                <w:sz w:val="24"/>
                <w:highlight w:val="none"/>
                <w:lang w:val="en-US" w:eastAsia="zh-CN"/>
              </w:rPr>
              <w:t>5</w:t>
            </w:r>
          </w:p>
        </w:tc>
        <w:tc>
          <w:tcPr>
            <w:tcW w:w="1782" w:type="dxa"/>
            <w:vAlign w:val="center"/>
          </w:tcPr>
          <w:p>
            <w:pPr>
              <w:spacing w:line="340" w:lineRule="atLeast"/>
              <w:jc w:val="center"/>
              <w:rPr>
                <w:rFonts w:asciiTheme="majorEastAsia" w:hAnsiTheme="majorEastAsia" w:eastAsiaTheme="majorEastAsia" w:cstheme="majorEastAsia"/>
                <w:color w:val="auto"/>
                <w:sz w:val="24"/>
                <w:highlight w:val="none"/>
              </w:rPr>
            </w:pPr>
          </w:p>
          <w:p>
            <w:pPr>
              <w:spacing w:line="340" w:lineRule="atLeast"/>
              <w:jc w:val="center"/>
              <w:rPr>
                <w:rFonts w:asciiTheme="majorEastAsia" w:hAnsiTheme="majorEastAsia" w:eastAsiaTheme="majorEastAsia" w:cstheme="majorEastAsia"/>
                <w:b/>
                <w:color w:val="auto"/>
                <w:sz w:val="24"/>
                <w:highlight w:val="none"/>
              </w:rPr>
            </w:pPr>
          </w:p>
        </w:tc>
        <w:tc>
          <w:tcPr>
            <w:tcW w:w="6967" w:type="dxa"/>
            <w:vAlign w:val="center"/>
          </w:tcPr>
          <w:p>
            <w:pPr>
              <w:spacing w:line="340" w:lineRule="atLeas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本项目采用</w:t>
            </w:r>
            <w:r>
              <w:rPr>
                <w:rFonts w:hint="eastAsia" w:asciiTheme="majorEastAsia" w:hAnsiTheme="majorEastAsia" w:eastAsiaTheme="majorEastAsia" w:cstheme="majorEastAsia"/>
                <w:bCs/>
                <w:color w:val="auto"/>
                <w:kern w:val="0"/>
                <w:sz w:val="24"/>
                <w:highlight w:val="none"/>
              </w:rPr>
              <w:t>网上电子投标人式进行</w:t>
            </w:r>
            <w:r>
              <w:rPr>
                <w:rFonts w:hint="eastAsia" w:asciiTheme="majorEastAsia" w:hAnsiTheme="majorEastAsia" w:eastAsiaTheme="majorEastAsia" w:cstheme="majorEastAsia"/>
                <w:color w:val="auto"/>
                <w:sz w:val="24"/>
                <w:highlight w:val="none"/>
              </w:rPr>
              <w:t>，若本条内容与招标文件其他章节内容有冲突，应以本条内容为准：</w:t>
            </w:r>
          </w:p>
          <w:p>
            <w:pPr>
              <w:spacing w:line="340" w:lineRule="atLeas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①电子招标投标活动的具体操作流程以莆田市公共资源交易中心网上公开信息系统设定的为准。</w:t>
            </w:r>
          </w:p>
          <w:p>
            <w:pPr>
              <w:spacing w:line="340" w:lineRule="atLeas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②关于投标文件：</w:t>
            </w:r>
          </w:p>
          <w:p>
            <w:pPr>
              <w:spacing w:line="340" w:lineRule="atLeas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a.投标人应按照莆田市公共资源交易中心网上公开信息系统设定的评审节点编制电子投标文件，否则评标委员会将按照不利于投标人的内容进行认定。</w:t>
            </w:r>
          </w:p>
          <w:p>
            <w:pPr>
              <w:spacing w:line="340" w:lineRule="atLeas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b.投标人应在投标截止时间前按照莆田市公共资源交易中心网上公开信息系统设定的操作流程将电子投标文件1份上传至莆田市公共资源交易中心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spacing w:line="340" w:lineRule="atLeast"/>
              <w:rPr>
                <w:rFonts w:asciiTheme="majorEastAsia" w:hAnsiTheme="majorEastAsia" w:eastAsiaTheme="majorEastAsia" w:cstheme="majorEastAsia"/>
                <w:bCs/>
                <w:color w:val="auto"/>
                <w:kern w:val="0"/>
                <w:sz w:val="24"/>
                <w:highlight w:val="none"/>
              </w:rPr>
            </w:pPr>
            <w:r>
              <w:rPr>
                <w:rFonts w:hint="eastAsia" w:asciiTheme="majorEastAsia" w:hAnsiTheme="majorEastAsia" w:eastAsiaTheme="majorEastAsia" w:cstheme="majorEastAsia"/>
                <w:color w:val="auto"/>
                <w:sz w:val="24"/>
                <w:highlight w:val="none"/>
              </w:rPr>
              <w:t>c.若出现莆田市公共资源交易中心网上公开信息系统设定的意外情形（如：系统故障等），经本项目监督管理部门同意使用纸质投标文件的，应以纸质投标文件为准。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340" w:lineRule="atLeast"/>
              <w:jc w:val="center"/>
              <w:rPr>
                <w:rFonts w:hint="eastAsia" w:asciiTheme="majorEastAsia" w:hAnsiTheme="majorEastAsia" w:eastAsiaTheme="majorEastAsia" w:cstheme="majorEastAsia"/>
                <w:color w:val="auto"/>
                <w:sz w:val="24"/>
                <w:highlight w:val="none"/>
                <w:lang w:eastAsia="zh-CN"/>
              </w:rPr>
            </w:pPr>
            <w:r>
              <w:rPr>
                <w:rFonts w:hint="eastAsia" w:asciiTheme="majorEastAsia" w:hAnsiTheme="majorEastAsia" w:eastAsiaTheme="majorEastAsia" w:cstheme="majorEastAsia"/>
                <w:color w:val="auto"/>
                <w:sz w:val="24"/>
                <w:highlight w:val="none"/>
              </w:rPr>
              <w:t>1</w:t>
            </w:r>
            <w:r>
              <w:rPr>
                <w:rFonts w:hint="eastAsia" w:asciiTheme="majorEastAsia" w:hAnsiTheme="majorEastAsia" w:eastAsiaTheme="majorEastAsia" w:cstheme="majorEastAsia"/>
                <w:color w:val="auto"/>
                <w:sz w:val="24"/>
                <w:highlight w:val="none"/>
                <w:lang w:val="en-US" w:eastAsia="zh-CN"/>
              </w:rPr>
              <w:t>6</w:t>
            </w:r>
          </w:p>
        </w:tc>
        <w:tc>
          <w:tcPr>
            <w:tcW w:w="1782" w:type="dxa"/>
            <w:vAlign w:val="center"/>
          </w:tcPr>
          <w:p>
            <w:pPr>
              <w:spacing w:line="340" w:lineRule="atLeast"/>
              <w:jc w:val="center"/>
              <w:rPr>
                <w:rFonts w:asciiTheme="majorEastAsia" w:hAnsiTheme="majorEastAsia" w:eastAsiaTheme="majorEastAsia" w:cstheme="majorEastAsia"/>
                <w:b/>
                <w:color w:val="auto"/>
                <w:sz w:val="24"/>
                <w:highlight w:val="none"/>
              </w:rPr>
            </w:pPr>
          </w:p>
        </w:tc>
        <w:tc>
          <w:tcPr>
            <w:tcW w:w="6967" w:type="dxa"/>
            <w:vAlign w:val="center"/>
          </w:tcPr>
          <w:p>
            <w:pPr>
              <w:pStyle w:val="18"/>
              <w:spacing w:line="376"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关于投标人的CA证书：</w:t>
            </w:r>
          </w:p>
          <w:p>
            <w:pPr>
              <w:pStyle w:val="18"/>
              <w:spacing w:line="376"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a.投标人的CA证书应在投标截止时间前连同密封的纸质投标文件送达招标文件第一章第8条载明的地点，否则</w:t>
            </w:r>
            <w:r>
              <w:rPr>
                <w:rStyle w:val="25"/>
                <w:rFonts w:hint="eastAsia" w:asciiTheme="majorEastAsia" w:hAnsiTheme="majorEastAsia" w:eastAsiaTheme="majorEastAsia" w:cstheme="majorEastAsia"/>
                <w:color w:val="auto"/>
                <w:highlight w:val="none"/>
              </w:rPr>
              <w:t>投标将被拒绝。</w:t>
            </w:r>
          </w:p>
          <w:p>
            <w:pPr>
              <w:pStyle w:val="18"/>
              <w:spacing w:line="376"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b.投标人的CA证书可采用信封（包括但不限于：信封、档案袋、文件袋等）作为外包装进行单独包装。外包装密封、不密封皆可。</w:t>
            </w:r>
          </w:p>
          <w:p>
            <w:pPr>
              <w:pStyle w:val="18"/>
              <w:spacing w:line="376"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c.投标人的CA证书或外包装应标记“项目名称、</w:t>
            </w:r>
            <w:r>
              <w:rPr>
                <w:rFonts w:hint="eastAsia" w:asciiTheme="majorEastAsia" w:hAnsiTheme="majorEastAsia" w:eastAsiaTheme="majorEastAsia" w:cstheme="majorEastAsia"/>
                <w:color w:val="auto"/>
                <w:highlight w:val="none"/>
                <w:lang w:eastAsia="zh-CN"/>
              </w:rPr>
              <w:t>项目编号</w:t>
            </w:r>
            <w:r>
              <w:rPr>
                <w:rFonts w:hint="eastAsia" w:asciiTheme="majorEastAsia" w:hAnsiTheme="majorEastAsia" w:eastAsiaTheme="majorEastAsia" w:cstheme="majorEastAsia"/>
                <w:color w:val="auto"/>
                <w:highlight w:val="none"/>
              </w:rPr>
              <w:t>、投标人的全称”等内容，以方便识别、使用。</w:t>
            </w:r>
          </w:p>
          <w:p>
            <w:pPr>
              <w:pStyle w:val="18"/>
              <w:spacing w:line="376"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d.投标人的CA证书应能正常、有效使用，否则产生不利后果由投标人承担责任。</w:t>
            </w:r>
          </w:p>
        </w:tc>
      </w:tr>
    </w:tbl>
    <w:p>
      <w:pPr>
        <w:rPr>
          <w:rFonts w:asciiTheme="majorEastAsia" w:hAnsiTheme="majorEastAsia" w:eastAsiaTheme="majorEastAsia" w:cstheme="majorEastAsia"/>
          <w:vanish/>
          <w:color w:val="auto"/>
          <w:highlight w:val="none"/>
        </w:rPr>
      </w:pPr>
    </w:p>
    <w:p>
      <w:pPr>
        <w:widowControl/>
        <w:spacing w:before="75" w:after="75"/>
        <w:rPr>
          <w:rFonts w:asciiTheme="majorEastAsia" w:hAnsiTheme="majorEastAsia" w:eastAsiaTheme="majorEastAsia" w:cstheme="majorEastAsia"/>
          <w:b/>
          <w:bCs/>
          <w:color w:val="auto"/>
          <w:kern w:val="0"/>
          <w:sz w:val="32"/>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bCs/>
          <w:color w:val="auto"/>
          <w:kern w:val="0"/>
          <w:sz w:val="32"/>
          <w:highlight w:val="none"/>
        </w:rPr>
        <w:t>第三章   投标人须知</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 </w:t>
      </w:r>
    </w:p>
    <w:p>
      <w:pPr>
        <w:widowControl/>
        <w:spacing w:before="75" w:after="75"/>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bCs/>
          <w:color w:val="auto"/>
          <w:kern w:val="0"/>
          <w:sz w:val="24"/>
          <w:highlight w:val="none"/>
        </w:rPr>
        <w:t>一、总则</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1、适用范围</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1.1适用于招标文件载明项目的政府采购活动（以下简称：“本次采购活动”）。</w:t>
      </w:r>
    </w:p>
    <w:p>
      <w:pPr>
        <w:widowControl/>
        <w:spacing w:before="75" w:after="75"/>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2、定义</w:t>
      </w:r>
    </w:p>
    <w:p>
      <w:pPr>
        <w:widowControl/>
        <w:spacing w:before="75" w:after="75"/>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2.1“采购标的”指招标文件载明的需要采购的货物或服务。</w:t>
      </w:r>
    </w:p>
    <w:p>
      <w:pPr>
        <w:widowControl/>
        <w:spacing w:before="75" w:after="75"/>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2.2“潜在投标人”指按照招标文件第一章第6条规定获取招标文件且有意向参加本项目投标的供应商。</w:t>
      </w:r>
    </w:p>
    <w:p>
      <w:pPr>
        <w:widowControl/>
        <w:spacing w:before="75" w:after="75"/>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2.3“投标人”指按照招标文件第一章第6条规定获取招标文件并参加本项目投标的供应商。</w:t>
      </w:r>
    </w:p>
    <w:p>
      <w:pPr>
        <w:widowControl/>
        <w:spacing w:before="75" w:after="75"/>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2.4“单位负责人”指单位法定代表人或法律、法规规定代表单位行使职权的主要负责人。</w:t>
      </w:r>
    </w:p>
    <w:p>
      <w:pPr>
        <w:widowControl/>
        <w:spacing w:before="75" w:after="75"/>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2.5“投标人代表”指投标人的单位负责人或“单位负责人授权书”中载明的接受授权方。</w:t>
      </w:r>
    </w:p>
    <w:p>
      <w:pPr>
        <w:widowControl/>
        <w:spacing w:before="75" w:after="75"/>
        <w:jc w:val="center"/>
        <w:rPr>
          <w:rFonts w:asciiTheme="majorEastAsia" w:hAnsiTheme="majorEastAsia" w:eastAsiaTheme="majorEastAsia" w:cstheme="majorEastAsia"/>
          <w:b/>
          <w:bCs/>
          <w:color w:val="auto"/>
          <w:kern w:val="0"/>
          <w:sz w:val="24"/>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bCs/>
          <w:color w:val="auto"/>
          <w:kern w:val="0"/>
          <w:sz w:val="24"/>
          <w:highlight w:val="none"/>
        </w:rPr>
        <w:t>二、投标人</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3、合格投标人</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3.1一般规定</w:t>
      </w:r>
    </w:p>
    <w:p>
      <w:pPr>
        <w:widowControl/>
        <w:spacing w:before="75" w:after="75"/>
        <w:ind w:firstLine="480" w:firstLineChars="200"/>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（1）投标人应遵守政府采购法及实施条例、政府采购招投标管理办法、政府采购质疑和投诉办法及财政部、福建省财政厅有关政府采购文件的规定，同时还应遵守有关法律、法规和规章的强制性规定。</w:t>
      </w:r>
    </w:p>
    <w:p>
      <w:pPr>
        <w:widowControl/>
        <w:spacing w:before="75" w:after="75"/>
        <w:ind w:firstLine="480" w:firstLineChars="200"/>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（2）投标人的资格要求：详见招标文件第一章。</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3.2若本项目接受联合体投标且投标人为联合体，则联合体各方应遵守本章第3.1条规定，同时还应遵守下列规定：</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（1）联合体各方应提交联合体协议，联合体协议应符合招标文件规定。</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（2）联合体各方不得再单独参加或与其他供应商另外组成联合体参加同一合同项下的投标。</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（3）联合体各方应共同与采购人签订政府采购合同，就政府采购合同约定的事项对采购人承担连带责任。</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4、投标费用</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4.1除招标文件另有规定外，投标人应自行承担其参加本项目投标所涉及的一切费用。</w:t>
      </w:r>
    </w:p>
    <w:p>
      <w:pPr>
        <w:pStyle w:val="18"/>
        <w:spacing w:before="75" w:after="75"/>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三、招标</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5、招标文件</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5.1招标文件由下述部分组成：</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（1）投标邀请</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（2）投标人须知前附表</w:t>
      </w:r>
      <w:r>
        <w:rPr>
          <w:rFonts w:ascii="宋体" w:hAnsi="宋体" w:eastAsia="宋体" w:cs="宋体"/>
          <w:color w:val="auto"/>
          <w:kern w:val="0"/>
          <w:sz w:val="24"/>
          <w:szCs w:val="24"/>
          <w:highlight w:val="none"/>
        </w:rPr>
        <w:t>（表</w:t>
      </w:r>
      <w:r>
        <w:rPr>
          <w:rFonts w:ascii="Calibri" w:hAnsi="Calibri" w:eastAsia="宋体" w:cs="宋体"/>
          <w:color w:val="auto"/>
          <w:kern w:val="0"/>
          <w:sz w:val="24"/>
          <w:szCs w:val="24"/>
          <w:highlight w:val="none"/>
        </w:rPr>
        <w:t>1</w:t>
      </w:r>
      <w:r>
        <w:rPr>
          <w:rFonts w:ascii="宋体" w:hAnsi="宋体" w:eastAsia="宋体" w:cs="宋体"/>
          <w:color w:val="auto"/>
          <w:kern w:val="0"/>
          <w:sz w:val="24"/>
          <w:szCs w:val="24"/>
          <w:highlight w:val="none"/>
        </w:rPr>
        <w:t>、</w:t>
      </w:r>
      <w:r>
        <w:rPr>
          <w:rFonts w:ascii="Calibri" w:hAnsi="Calibri" w:eastAsia="宋体" w:cs="宋体"/>
          <w:color w:val="auto"/>
          <w:kern w:val="0"/>
          <w:sz w:val="24"/>
          <w:szCs w:val="24"/>
          <w:highlight w:val="none"/>
        </w:rPr>
        <w:t>2</w:t>
      </w:r>
      <w:r>
        <w:rPr>
          <w:rFonts w:ascii="宋体" w:hAnsi="宋体" w:eastAsia="宋体" w:cs="宋体"/>
          <w:color w:val="auto"/>
          <w:kern w:val="0"/>
          <w:sz w:val="24"/>
          <w:szCs w:val="24"/>
          <w:highlight w:val="none"/>
        </w:rPr>
        <w:t>）</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（3）投标人须知</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（4）资格审查与评标</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（5）招标内容及要求</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（6）采购合同（参考文本）</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（7）投标文件格式</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（8）按照招标文件规定作为招标文件组成部分的其他内容（若有）</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5.2招标文件的澄清或修改</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（1）莆田市信成造价咨询有限公司可对已发出的招标文件进行必要的澄清或修改，但不得对招标文件载明的采购标的和投标人的资格要求进行改变。</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除本章第5.2条第（3）款规定情形外，澄清或修改的内容可能影响投标文件编制的，莆田市信成造价咨询有限公司将在投标截止时间至少15个日历日前，在招标文件载明的指定媒体以更正公告的形式发布澄清或修改的内容。不足15个日历日的，莆田市信成造价咨询有限公司将顺延投标截止时间及开标时间，莆田市信成造价咨询有限公司和投标人受原投标截止时间及开标时间制约的所有权利和义务均延长至新的投标截止时间及开标时间。</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澄清或修改的内容可能改变招标文件载明的采购标的和投标人的资格要求的，本次采购活动结束，莆田市信成造价咨询有限公司将依法组织后续采购活动（包括但不限于：重新招标、采用其他方式采购等）。</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6、现场考察或开标前答疑会</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6.1是否组织现场考察或召开开标前答疑会：详见招标文件第二章。</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7、更正公告</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7.1若莆田市信成造价咨询有限公司发布更正公告，则更正公告及其所发布的内容或信息（包括但不限于：招标文件的澄清或修改、现场考察或答疑会的有关事宜等）</w:t>
      </w:r>
      <w:r>
        <w:rPr>
          <w:rStyle w:val="25"/>
          <w:rFonts w:hint="eastAsia" w:asciiTheme="majorEastAsia" w:hAnsiTheme="majorEastAsia" w:eastAsiaTheme="majorEastAsia" w:cstheme="majorEastAsia"/>
          <w:color w:val="auto"/>
          <w:highlight w:val="none"/>
        </w:rPr>
        <w:t>作为招标文件组成部分</w:t>
      </w:r>
      <w:r>
        <w:rPr>
          <w:rFonts w:hint="eastAsia" w:asciiTheme="majorEastAsia" w:hAnsiTheme="majorEastAsia" w:eastAsiaTheme="majorEastAsia" w:cstheme="majorEastAsia"/>
          <w:color w:val="auto"/>
          <w:highlight w:val="none"/>
        </w:rPr>
        <w:t>，对投标人具有约束力。</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7.2更正公告作为莆田市信成造价咨询有限公司通知所有潜在投标人的书面形式。</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8、终止公告</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8.1若出现因重大变故导致采购任务取消情形，莆田市信成造价咨询有限公司可终止招标并发布终止公告。</w:t>
      </w:r>
    </w:p>
    <w:p>
      <w:pPr>
        <w:pStyle w:val="18"/>
        <w:spacing w:before="75" w:after="75"/>
        <w:rPr>
          <w:rFonts w:asciiTheme="majorEastAsia" w:hAnsiTheme="majorEastAsia" w:eastAsiaTheme="majorEastAsia" w:cstheme="majorEastAsia"/>
          <w:b/>
          <w:color w:val="auto"/>
          <w:kern w:val="0"/>
          <w:sz w:val="28"/>
          <w:szCs w:val="28"/>
          <w:highlight w:val="none"/>
        </w:rPr>
      </w:pPr>
      <w:r>
        <w:rPr>
          <w:rFonts w:hint="eastAsia" w:asciiTheme="majorEastAsia" w:hAnsiTheme="majorEastAsia" w:eastAsiaTheme="majorEastAsia" w:cstheme="majorEastAsia"/>
          <w:color w:val="auto"/>
          <w:highlight w:val="none"/>
        </w:rPr>
        <w:t>8.2终止公告作为莆田市信成造价咨询有限公司通知所有潜在投标人的书面形式。</w:t>
      </w:r>
    </w:p>
    <w:p>
      <w:pPr>
        <w:pStyle w:val="18"/>
        <w:spacing w:before="75" w:after="75"/>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四、投标</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9、投标</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9.1投标人可对招标文件载明的全部或部分采购包进行投标。</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9.2投标人应对同一个采购包内的所有内容进行完整投标，否则</w:t>
      </w:r>
      <w:r>
        <w:rPr>
          <w:rFonts w:ascii="宋体" w:hAnsi="宋体" w:eastAsia="宋体" w:cs="宋体"/>
          <w:b/>
          <w:bCs/>
          <w:color w:val="auto"/>
          <w:kern w:val="0"/>
          <w:sz w:val="24"/>
          <w:szCs w:val="24"/>
          <w:highlight w:val="none"/>
        </w:rPr>
        <w:t>投标无效</w:t>
      </w:r>
      <w:r>
        <w:rPr>
          <w:rFonts w:ascii="宋体" w:hAnsi="宋体" w:eastAsia="宋体" w:cs="宋体"/>
          <w:color w:val="auto"/>
          <w:kern w:val="0"/>
          <w:sz w:val="24"/>
          <w:szCs w:val="24"/>
          <w:highlight w:val="none"/>
        </w:rPr>
        <w:t>。</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9.3投标人代表只能接受一个投标人的授权参加投标，否则</w:t>
      </w:r>
      <w:r>
        <w:rPr>
          <w:rFonts w:ascii="宋体" w:hAnsi="宋体" w:eastAsia="宋体" w:cs="宋体"/>
          <w:b/>
          <w:bCs/>
          <w:color w:val="auto"/>
          <w:kern w:val="0"/>
          <w:sz w:val="24"/>
          <w:szCs w:val="24"/>
          <w:highlight w:val="none"/>
        </w:rPr>
        <w:t>投标无效</w:t>
      </w:r>
      <w:r>
        <w:rPr>
          <w:rFonts w:ascii="宋体" w:hAnsi="宋体" w:eastAsia="宋体" w:cs="宋体"/>
          <w:color w:val="auto"/>
          <w:kern w:val="0"/>
          <w:sz w:val="24"/>
          <w:szCs w:val="24"/>
          <w:highlight w:val="none"/>
        </w:rPr>
        <w:t>。</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9.4单位负责人为同一人或存在直接控股、管理关系的不同供应商，不得同时参加同一合同项下的投标，否则</w:t>
      </w:r>
      <w:r>
        <w:rPr>
          <w:rFonts w:ascii="宋体" w:hAnsi="宋体" w:eastAsia="宋体" w:cs="宋体"/>
          <w:b/>
          <w:bCs/>
          <w:color w:val="auto"/>
          <w:kern w:val="0"/>
          <w:sz w:val="24"/>
          <w:szCs w:val="24"/>
          <w:highlight w:val="none"/>
        </w:rPr>
        <w:t>投标无效</w:t>
      </w:r>
      <w:r>
        <w:rPr>
          <w:rFonts w:ascii="宋体" w:hAnsi="宋体" w:eastAsia="宋体" w:cs="宋体"/>
          <w:color w:val="auto"/>
          <w:kern w:val="0"/>
          <w:sz w:val="24"/>
          <w:szCs w:val="24"/>
          <w:highlight w:val="none"/>
        </w:rPr>
        <w:t>。</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9.5为本项目提供整体设计、规范编制或项目管理、监理、检测等服务的供应商，不得参加本项目除整体设计、规范编制和项目管理、监理、检测等服务外的采购活动，否则</w:t>
      </w:r>
      <w:r>
        <w:rPr>
          <w:rStyle w:val="25"/>
          <w:rFonts w:hint="eastAsia" w:asciiTheme="majorEastAsia" w:hAnsiTheme="majorEastAsia" w:eastAsiaTheme="majorEastAsia" w:cstheme="majorEastAsia"/>
          <w:color w:val="auto"/>
          <w:highlight w:val="none"/>
        </w:rPr>
        <w:t>投标无效</w:t>
      </w:r>
      <w:r>
        <w:rPr>
          <w:rFonts w:hint="eastAsia" w:asciiTheme="majorEastAsia" w:hAnsiTheme="majorEastAsia" w:eastAsiaTheme="majorEastAsia" w:cstheme="majorEastAsia"/>
          <w:color w:val="auto"/>
          <w:highlight w:val="none"/>
        </w:rPr>
        <w:t>。</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9.6列入失信被执行人、重大税收违法案件当事人名单、政府采购严重违法失信行为记录名单及其他不符合政府采购法第二十二条规定条件的供应商，不得参加投标，否则</w:t>
      </w:r>
      <w:r>
        <w:rPr>
          <w:rStyle w:val="25"/>
          <w:rFonts w:hint="eastAsia" w:asciiTheme="majorEastAsia" w:hAnsiTheme="majorEastAsia" w:eastAsiaTheme="majorEastAsia" w:cstheme="majorEastAsia"/>
          <w:color w:val="auto"/>
          <w:highlight w:val="none"/>
        </w:rPr>
        <w:t>投标无效</w:t>
      </w:r>
      <w:r>
        <w:rPr>
          <w:rFonts w:hint="eastAsia" w:asciiTheme="majorEastAsia" w:hAnsiTheme="majorEastAsia" w:eastAsiaTheme="majorEastAsia" w:cstheme="majorEastAsia"/>
          <w:color w:val="auto"/>
          <w:highlight w:val="none"/>
        </w:rPr>
        <w:t>。</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9.7有下列情形之一的，视为投标人串通投标，</w:t>
      </w:r>
      <w:r>
        <w:rPr>
          <w:rStyle w:val="25"/>
          <w:rFonts w:hint="eastAsia" w:asciiTheme="majorEastAsia" w:hAnsiTheme="majorEastAsia" w:eastAsiaTheme="majorEastAsia" w:cstheme="majorEastAsia"/>
          <w:color w:val="auto"/>
          <w:highlight w:val="none"/>
        </w:rPr>
        <w:t>其投标无效：</w:t>
      </w:r>
    </w:p>
    <w:p>
      <w:pPr>
        <w:widowControl/>
        <w:spacing w:before="75" w:after="75"/>
        <w:ind w:firstLine="480" w:firstLineChars="20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（1）不同投标人的投标文件由同一单位或个人编制；</w:t>
      </w:r>
    </w:p>
    <w:p>
      <w:pPr>
        <w:widowControl/>
        <w:spacing w:before="75" w:after="75"/>
        <w:ind w:firstLine="480" w:firstLineChars="20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（2）不同投标人委托同一单位或个人办理投标事宜；</w:t>
      </w:r>
    </w:p>
    <w:p>
      <w:pPr>
        <w:widowControl/>
        <w:spacing w:before="75" w:after="75"/>
        <w:ind w:firstLine="480" w:firstLineChars="20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（3）不同投标人的投标文件载明的项目管理成员或联系人员为同一人；</w:t>
      </w:r>
    </w:p>
    <w:p>
      <w:pPr>
        <w:widowControl/>
        <w:spacing w:before="75" w:after="75"/>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（4）不同投标人的投标文件异常一致或投标报价呈规律性差异；</w:t>
      </w:r>
    </w:p>
    <w:p>
      <w:pPr>
        <w:widowControl/>
        <w:spacing w:before="75" w:after="75"/>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（5）不同投标人的投标文件相互混装；</w:t>
      </w:r>
    </w:p>
    <w:p>
      <w:pPr>
        <w:widowControl/>
        <w:spacing w:before="75" w:after="75"/>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（6）不同投标人的投标保证金从同一单位或个人的账户转出；</w:t>
      </w:r>
    </w:p>
    <w:p>
      <w:pPr>
        <w:widowControl/>
        <w:spacing w:before="75" w:after="75"/>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7</w:t>
      </w:r>
      <w:r>
        <w:rPr>
          <w:rFonts w:hint="eastAsia" w:ascii="宋体" w:hAnsi="宋体" w:eastAsia="宋体" w:cs="宋体"/>
          <w:color w:val="auto"/>
          <w:kern w:val="0"/>
          <w:sz w:val="24"/>
          <w:szCs w:val="24"/>
          <w:highlight w:val="none"/>
        </w:rPr>
        <w:t>）不同投标人的投标文件制作工具MAC地址一致</w:t>
      </w:r>
      <w:r>
        <w:rPr>
          <w:rFonts w:hint="eastAsia" w:ascii="宋体" w:hAnsi="宋体" w:eastAsia="宋体" w:cs="宋体"/>
          <w:color w:val="auto"/>
          <w:kern w:val="0"/>
          <w:sz w:val="24"/>
          <w:szCs w:val="24"/>
          <w:highlight w:val="none"/>
          <w:lang w:eastAsia="zh-CN"/>
        </w:rPr>
        <w:t>。</w:t>
      </w:r>
    </w:p>
    <w:p>
      <w:pPr>
        <w:widowControl/>
        <w:spacing w:before="75" w:after="75"/>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）有关法律、法规和规章及招标文件规定的其他串通投标情形。</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10、投标文件</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10.1投标文件的编制</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（1）投标人应先仔细阅读招标文件的全部内容后，再进行投标文件的编制。</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（2）投标文件应按照本章第10.2条规定编制其组成部分。</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（3）投标文件应满足招标文件提出的实质性要求和条件，并保证其所提交的全部资料是不可割离且真实、有效、准确、完整和不具有任何误导性的，否则造成不利后果由投标人承担责任。</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10.2投标文件由下述部分组成：</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（1）资格及资信证明部分</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①投标函</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②投标人的资格及资信证明文件</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③投标保证金</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（2）报价部分</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①开标一览表</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②投标分项报价表</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③招标文件规定的价格扣除证明材料（若有）</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④招标文件规定的加分证明材料（若有）</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（3）技术商务部分</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①标的说明一览表</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②技术和服务要求响应表</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③商务条件响应表</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④投标人提交的其他资料（若有）</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⑤招标文件规定作为投标文件组成部分的其他内容（若有）</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10.3投标文件的语言</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（1）除招标文件另有规定外，投标文件应使用中文文本，若有不同文本，以中文文本为准。</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10.4投标文件的份数：详见招标文件第二章。</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10.5投标文件的格式</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（1）除招标文件另有规定外，投标文件应使用招标文件第七章规定的格式。</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（2）除招标文件另有规定外，投标文件的正本和全部副本均应使用不能擦去的墨料或墨水打印、书写或复印，其中：</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①正本应用A4幅面纸张打印装订，编制封面（封面标明“正本”字样）、索引、页码，并用胶装装订成册。</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②副本应用A4幅面纸张打印装订，编制封面（封面标明“副本”字样）、索引、页码，并用胶装装订成册；副本可用正本的完整复印件，并与正本保持一致（若不一致，以正本为准）。</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③允许散装或活页装订的内容或材料：详见招标文件第二章。</w:t>
      </w:r>
    </w:p>
    <w:p>
      <w:pPr>
        <w:pStyle w:val="18"/>
        <w:spacing w:before="75" w:after="75"/>
        <w:ind w:firstLine="480"/>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※除本章第10.5条第（2）款第③点规定情形外，投标文件散装或活页装订将导致投标无效。</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（3）除招标文件另有规定外，投标文件应使用人民币作为计量货币。</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（4）除招标文件另有规定外，签署、盖章应遵守下列规定：</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①投标文件应由投标人代表签字并加盖投标人的单位公章。若投标人代表为单位授权的委托代理人，应提供“单位授权书”。</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②投标文件应没有涂改或行间插字，除非这些改动是根据莆田市信成造价咨询有限公司的指示进行的，或是为改正投标人造成的应修改的错误而进行的。若有前述改动，应按照下列规定之一对改动处进行处理：</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a.投标人代表签字确认；</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b.加盖投标人的单位公章或校正章。</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10.6投标报价</w:t>
      </w:r>
    </w:p>
    <w:p>
      <w:pPr>
        <w:widowControl/>
        <w:spacing w:before="75" w:after="75"/>
        <w:ind w:firstLine="48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（1）投标报价超出最高限价将导致</w:t>
      </w:r>
      <w:r>
        <w:rPr>
          <w:rFonts w:ascii="宋体" w:hAnsi="宋体" w:eastAsia="宋体" w:cs="宋体"/>
          <w:b/>
          <w:bCs/>
          <w:color w:val="auto"/>
          <w:kern w:val="0"/>
          <w:sz w:val="24"/>
          <w:szCs w:val="24"/>
          <w:highlight w:val="none"/>
        </w:rPr>
        <w:t>投标无效。</w:t>
      </w:r>
    </w:p>
    <w:p>
      <w:pPr>
        <w:widowControl/>
        <w:spacing w:before="75" w:after="75"/>
        <w:ind w:firstLine="48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（2）最高限价由采购人根据价格测算情况，在预算金额的额度内合理设定。最高限价不得超出预算金额。</w:t>
      </w:r>
    </w:p>
    <w:p>
      <w:pPr>
        <w:widowControl/>
        <w:spacing w:before="75" w:after="75"/>
        <w:ind w:firstLine="48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（3）除招标文件另有规定外，投标文件不能出现任何选择性的投标报价，即每一个采购包和品目号的采购标的都只能有一个投标报价。任何选择性的投标报价将导致</w:t>
      </w:r>
      <w:r>
        <w:rPr>
          <w:rFonts w:ascii="宋体" w:hAnsi="宋体" w:eastAsia="宋体" w:cs="宋体"/>
          <w:b/>
          <w:bCs/>
          <w:color w:val="auto"/>
          <w:kern w:val="0"/>
          <w:sz w:val="24"/>
          <w:szCs w:val="24"/>
          <w:highlight w:val="none"/>
        </w:rPr>
        <w:t>投标无效。</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10.7分包</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（1）是否允许中标人将本项目的非主体、非关键性工作进行分包：详见招标文件第二章。</w:t>
      </w:r>
    </w:p>
    <w:p>
      <w:pPr>
        <w:widowControl/>
        <w:spacing w:before="75" w:after="75"/>
        <w:ind w:firstLine="48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若允许中标人将本项目的非主体、非关键性工作进行分包且投标人拟在中标后进行分包，则应在投标文件中提供分包意向协议，同时投标人应在投标文件中载明分包承担主体，分包承担主体应具备相应资质条件（若有）且不得再次分包。</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（3）招标文件允许中标人将非主体、非关键性工作进行分包的项目，有下列情形之一的，中标人不得分包：</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①投标文件中未载明分包承担主体；</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②投标文件载明的分包承担主体不具备相应资质条件；</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③投标文件载明的分包承担主体拟再次分包。</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④享受中小企业扶持政策获得政府采购合同的，小微企业不得将合同分包给大中型企业，中型企业不得将合同分包给大型企业。</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10.8投标有效期</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（1）招标文件载明的投标有效期：详见招标文件第二章。</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（2）投标文件承诺的投标有效期不得少于招标文件载明的投标有效期，否则</w:t>
      </w:r>
      <w:r>
        <w:rPr>
          <w:rStyle w:val="25"/>
          <w:rFonts w:hint="eastAsia" w:asciiTheme="majorEastAsia" w:hAnsiTheme="majorEastAsia" w:eastAsiaTheme="majorEastAsia" w:cstheme="majorEastAsia"/>
          <w:color w:val="auto"/>
          <w:highlight w:val="none"/>
        </w:rPr>
        <w:t>投标无效</w:t>
      </w:r>
      <w:r>
        <w:rPr>
          <w:rFonts w:hint="eastAsia" w:asciiTheme="majorEastAsia" w:hAnsiTheme="majorEastAsia" w:eastAsiaTheme="majorEastAsia" w:cstheme="majorEastAsia"/>
          <w:color w:val="auto"/>
          <w:highlight w:val="none"/>
        </w:rPr>
        <w:t>。</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根据本次采购活动的需要，莆田市信成造价咨询有限公司可于投标有效期届满之前书面要求投标人延长投标有效期，投标人应在莆田市信成造价咨询有限公司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10.9投标保证金</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（1）投标保证金作为投标人按照招标文件规定履行相应投标责任、义务的约束及担保。</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（2）投标保证金的有效期应与投标文件承诺的投标有效期保持一致，否则</w:t>
      </w:r>
      <w:r>
        <w:rPr>
          <w:rStyle w:val="25"/>
          <w:rFonts w:hint="eastAsia" w:asciiTheme="majorEastAsia" w:hAnsiTheme="majorEastAsia" w:eastAsiaTheme="majorEastAsia" w:cstheme="majorEastAsia"/>
          <w:color w:val="auto"/>
          <w:highlight w:val="none"/>
        </w:rPr>
        <w:t>投标无效</w:t>
      </w:r>
      <w:r>
        <w:rPr>
          <w:rFonts w:hint="eastAsia" w:asciiTheme="majorEastAsia" w:hAnsiTheme="majorEastAsia" w:eastAsiaTheme="majorEastAsia" w:cstheme="majorEastAsia"/>
          <w:color w:val="auto"/>
          <w:highlight w:val="none"/>
        </w:rPr>
        <w:t>。</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（3）提交</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①投标人应从其银行账户</w:t>
      </w:r>
      <w:r>
        <w:rPr>
          <w:rStyle w:val="25"/>
          <w:rFonts w:hint="eastAsia" w:asciiTheme="majorEastAsia" w:hAnsiTheme="majorEastAsia" w:eastAsiaTheme="majorEastAsia" w:cstheme="majorEastAsia"/>
          <w:color w:val="auto"/>
          <w:highlight w:val="none"/>
        </w:rPr>
        <w:t>（基本存款账户）</w:t>
      </w:r>
      <w:r>
        <w:rPr>
          <w:rFonts w:hint="eastAsia" w:asciiTheme="majorEastAsia" w:hAnsiTheme="majorEastAsia" w:eastAsiaTheme="majorEastAsia" w:cstheme="majorEastAsia"/>
          <w:color w:val="auto"/>
          <w:highlight w:val="none"/>
        </w:rPr>
        <w:t>按照下列方式：</w:t>
      </w:r>
      <w:r>
        <w:rPr>
          <w:rStyle w:val="25"/>
          <w:rFonts w:hint="eastAsia" w:asciiTheme="majorEastAsia" w:hAnsiTheme="majorEastAsia" w:eastAsiaTheme="majorEastAsia" w:cstheme="majorEastAsia"/>
          <w:color w:val="auto"/>
          <w:highlight w:val="none"/>
        </w:rPr>
        <w:t>公对公转账方式</w:t>
      </w:r>
      <w:r>
        <w:rPr>
          <w:rFonts w:hint="eastAsia" w:asciiTheme="majorEastAsia" w:hAnsiTheme="majorEastAsia" w:eastAsiaTheme="majorEastAsia" w:cstheme="majorEastAsia"/>
          <w:color w:val="auto"/>
          <w:highlight w:val="none"/>
        </w:rPr>
        <w:t>向招标文件载明的投标保证金账户提交投标保证金，具体金额详见招标文件</w:t>
      </w:r>
      <w:r>
        <w:rPr>
          <w:rFonts w:ascii="宋体" w:hAnsi="宋体" w:eastAsia="宋体" w:cs="宋体"/>
          <w:color w:val="auto"/>
          <w:kern w:val="0"/>
          <w:sz w:val="24"/>
          <w:szCs w:val="24"/>
          <w:highlight w:val="none"/>
        </w:rPr>
        <w:t>第一章</w:t>
      </w:r>
      <w:r>
        <w:rPr>
          <w:rFonts w:hint="eastAsia" w:asciiTheme="majorEastAsia" w:hAnsiTheme="majorEastAsia" w:eastAsiaTheme="majorEastAsia" w:cstheme="majorEastAsia"/>
          <w:color w:val="auto"/>
          <w:highlight w:val="none"/>
        </w:rPr>
        <w:t>。</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②投标保证金应于投标截止时间前到达招标文件载明的投标保证金账户，否则视为投标保证金未提交；是否到达按照下列方式认定：以招标文件指定保证金账户到账时间为准。 </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③若本项目接受联合体投标且投标人为联合体，则联合体中的牵头方应按照本章第10.9条第（3）款第①、②点规定提交投标保证金。</w:t>
      </w:r>
    </w:p>
    <w:p>
      <w:pPr>
        <w:pStyle w:val="18"/>
        <w:spacing w:before="75" w:after="75"/>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※除招标文件另有规定外，未按照上述规定提交投标保证金将导致资格审查不合格。</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（4）退还</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①在投标截止时间前撤回已提交的投标文件的投标人，其投标保证金将在莆田市信成造价咨询有限公司收到投标人书面撤回通知之日起5个工作日内退回原账户。</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②未中标人的投标保证金将在中标通知书发出之日起5个工作日内退回原账户。</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③中标人的投标保证金将在政府采购合同签订之日起5个工作日内退回原账户；</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④终止招标的，莆田市信成造价咨询有限公司将在终止公告发布之日起5个工作日内退回已收取的投标保证金及其在银行产生的孳息。</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⑤除招标文件另有规定外，质疑或投诉涉及的投标人，若投标保证金尚未退还，则待质疑或投诉处理完毕后不计利息原额退还。</w:t>
      </w:r>
    </w:p>
    <w:p>
      <w:pPr>
        <w:pStyle w:val="18"/>
        <w:spacing w:before="75" w:after="75"/>
        <w:ind w:firstLine="480"/>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※本章第10.9条第（4）款第①、②、③点规定的投标保证金退还时限不包括因投标人自身原因导致无法及时退还而增加的时间。</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18"/>
        <w:spacing w:before="75" w:after="75"/>
        <w:ind w:firstLine="480"/>
        <w:rPr>
          <w:rStyle w:val="25"/>
          <w:rFonts w:hint="eastAsia"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（6）有下列情形之一的，投标保证金将不予退还：</w:t>
      </w:r>
    </w:p>
    <w:p>
      <w:pPr>
        <w:pStyle w:val="18"/>
        <w:spacing w:before="75" w:after="75"/>
        <w:ind w:firstLine="480"/>
        <w:rPr>
          <w:rStyle w:val="25"/>
          <w:rFonts w:hint="eastAsia"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①投标人串通投标；</w:t>
      </w:r>
    </w:p>
    <w:p>
      <w:pPr>
        <w:pStyle w:val="18"/>
        <w:spacing w:before="75" w:after="75"/>
        <w:ind w:firstLine="480"/>
        <w:rPr>
          <w:rStyle w:val="25"/>
          <w:rFonts w:hint="eastAsia"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②投标人提供虚假材料；</w:t>
      </w:r>
    </w:p>
    <w:p>
      <w:pPr>
        <w:pStyle w:val="18"/>
        <w:spacing w:before="75" w:after="75"/>
        <w:ind w:firstLine="480"/>
        <w:rPr>
          <w:rStyle w:val="25"/>
          <w:rFonts w:hint="eastAsia"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③投标人采取不正当手段诋毁、排挤其他投标人；</w:t>
      </w:r>
    </w:p>
    <w:p>
      <w:pPr>
        <w:pStyle w:val="18"/>
        <w:spacing w:before="75" w:after="75"/>
        <w:ind w:firstLine="480"/>
        <w:rPr>
          <w:rStyle w:val="25"/>
          <w:rFonts w:hint="eastAsia"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④投标截止时间后，投标人在投标有效期内撤销投标文件；</w:t>
      </w:r>
    </w:p>
    <w:p>
      <w:pPr>
        <w:pStyle w:val="18"/>
        <w:spacing w:before="75" w:after="75"/>
        <w:ind w:firstLine="480"/>
        <w:rPr>
          <w:rStyle w:val="25"/>
          <w:rFonts w:hint="eastAsia"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⑤招标文件规定的其他不予退还情形；</w:t>
      </w:r>
    </w:p>
    <w:p>
      <w:pPr>
        <w:pStyle w:val="18"/>
        <w:spacing w:before="75" w:after="75"/>
        <w:ind w:firstLine="480"/>
        <w:rPr>
          <w:rStyle w:val="25"/>
          <w:rFonts w:hint="eastAsia"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⑥中标人有下列情形之一的：</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a.除不可抗力外，因中标人自身原因未在中标通知书要求的期限内与采购人签订政府采购合同；</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b.未按照招标文件、投标文件的约定签订政府采购合同或提交履约保证金。</w:t>
      </w:r>
    </w:p>
    <w:p>
      <w:pPr>
        <w:pStyle w:val="18"/>
        <w:spacing w:before="75" w:after="75"/>
        <w:ind w:firstLine="480"/>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※若上述投标保证金不予退还情形给采购人（采购代理机构）造成损失，则投标人还要承担相应的赔偿责任。</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10.10投标文件的提交</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（1）一个投标人只能提交一个投标文件，并按照招标文件第一章规定将其送达。</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（2）密封及其标记的具体形式：详见招标文件第二章。</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10.11投标文件的补充、修改或撤回</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（1）投标截止时间前，投标人可对所提交的投标文件进行补充、修改或撤回，并书面通知莆田市信成造价咨询有限公司。</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（2）补充、修改的内容应按照本章第10.5条第（4）款规定进行签署、盖章，并按照本章第10.10条规定提交，</w:t>
      </w:r>
      <w:r>
        <w:rPr>
          <w:rStyle w:val="25"/>
          <w:rFonts w:hint="eastAsia" w:asciiTheme="majorEastAsia" w:hAnsiTheme="majorEastAsia" w:eastAsiaTheme="majorEastAsia" w:cstheme="majorEastAsia"/>
          <w:color w:val="auto"/>
          <w:highlight w:val="none"/>
        </w:rPr>
        <w:t>否则将被拒收。</w:t>
      </w:r>
    </w:p>
    <w:p>
      <w:pPr>
        <w:pStyle w:val="18"/>
        <w:spacing w:before="75" w:after="75"/>
        <w:ind w:firstLine="480"/>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※按照上述规定提交的补充、修改内容作为投标文件组成部分。</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10.12除招标文件另有规定外，有下列情形之一的，</w:t>
      </w:r>
      <w:r>
        <w:rPr>
          <w:rStyle w:val="25"/>
          <w:rFonts w:hint="eastAsia" w:asciiTheme="majorEastAsia" w:hAnsiTheme="majorEastAsia" w:eastAsiaTheme="majorEastAsia" w:cstheme="majorEastAsia"/>
          <w:color w:val="auto"/>
          <w:highlight w:val="none"/>
        </w:rPr>
        <w:t>投标无效</w:t>
      </w:r>
      <w:r>
        <w:rPr>
          <w:rFonts w:hint="eastAsia" w:asciiTheme="majorEastAsia" w:hAnsiTheme="majorEastAsia" w:eastAsiaTheme="majorEastAsia" w:cstheme="majorEastAsia"/>
          <w:color w:val="auto"/>
          <w:highlight w:val="none"/>
        </w:rPr>
        <w:t>：</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（1）投标文件未按照招标文件要求签署、盖章；</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（2）不符合招标文件中规定的资格要求；</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（3）投标报价超过招标文件中规定的预算金额或最高限价；</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（4）投标文件含有采购人不能接受的附加条件；</w:t>
      </w:r>
    </w:p>
    <w:p>
      <w:pPr>
        <w:pStyle w:val="18"/>
        <w:spacing w:before="75" w:after="75"/>
        <w:ind w:firstLine="480"/>
        <w:rPr>
          <w:rStyle w:val="25"/>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（5）有关法律、法规和规章及招标文件规定的其他无效情形。</w:t>
      </w:r>
    </w:p>
    <w:p>
      <w:pPr>
        <w:pStyle w:val="18"/>
        <w:spacing w:before="75" w:after="75"/>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五、开标</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11、开标</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11.1莆田市信成造价咨询有限公司将在招标文件载明的开标时间及地点主持召开开标会，并邀请投标人参加。</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11.2开标会的主持人、唱标人、记录人及其他工作人员（若有）均由</w:t>
      </w:r>
      <w:r>
        <w:rPr>
          <w:rFonts w:ascii="宋体" w:hAnsi="宋体" w:eastAsia="宋体" w:cs="宋体"/>
          <w:color w:val="auto"/>
          <w:kern w:val="0"/>
          <w:sz w:val="24"/>
          <w:szCs w:val="24"/>
          <w:highlight w:val="none"/>
          <w:u w:val="single"/>
        </w:rPr>
        <w:t>莆田市信成造价咨询有限公司</w:t>
      </w:r>
      <w:r>
        <w:rPr>
          <w:rFonts w:ascii="宋体" w:hAnsi="宋体" w:eastAsia="宋体" w:cs="宋体"/>
          <w:color w:val="auto"/>
          <w:kern w:val="0"/>
          <w:sz w:val="24"/>
          <w:szCs w:val="24"/>
          <w:highlight w:val="none"/>
        </w:rPr>
        <w:t>派出，现场监督人员（若有）可由有关方面派出。</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11.3参加现场开标会的投标人应签到。</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11.4开标会应遵守下列规定：</w:t>
      </w:r>
    </w:p>
    <w:p>
      <w:pPr>
        <w:pStyle w:val="18"/>
        <w:spacing w:before="75" w:after="75"/>
        <w:ind w:firstLine="480" w:firstLineChars="20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（1）首先由主持人宣布开标会须知，然后由投标人代表对投标文件的密封情况进行检查，经确认无误后，由工作人员对密封的投标文件当众拆封。</w:t>
      </w:r>
    </w:p>
    <w:p>
      <w:pPr>
        <w:pStyle w:val="18"/>
        <w:spacing w:before="75" w:after="75"/>
        <w:ind w:firstLine="480" w:firstLineChars="20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（3）记录人对唱标人宣布的内容作开标记录。</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（5）投标人代表对开标过程和开标记录有疑义，以及认为采购人（采购代理机构）相关工作人员有需要回避情形的，应当场提出询问或回避申请。否则，视为投标人对开标过程和开标记录予以认可。</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（6）若投标人未参加开标会（包括但不限于投标人派出的人员不是投标人代表），视同其对开标过程和开标记录予以认可。</w:t>
      </w:r>
    </w:p>
    <w:p>
      <w:pPr>
        <w:pStyle w:val="18"/>
        <w:spacing w:before="75" w:after="75"/>
        <w:ind w:firstLine="480"/>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※若出现本章第11.4条第（4）、（5）、（6）款规定情形之一</w:t>
      </w:r>
      <w:r>
        <w:rPr>
          <w:rFonts w:hint="eastAsia" w:asciiTheme="majorEastAsia" w:hAnsiTheme="majorEastAsia" w:eastAsiaTheme="majorEastAsia" w:cstheme="majorEastAsia"/>
          <w:color w:val="auto"/>
          <w:highlight w:val="none"/>
        </w:rPr>
        <w:t>，</w:t>
      </w:r>
      <w:r>
        <w:rPr>
          <w:rStyle w:val="25"/>
          <w:rFonts w:hint="eastAsia" w:asciiTheme="majorEastAsia" w:hAnsiTheme="majorEastAsia" w:eastAsiaTheme="majorEastAsia" w:cstheme="majorEastAsia"/>
          <w:color w:val="auto"/>
          <w:highlight w:val="none"/>
        </w:rPr>
        <w:t>则投标人不得在开标会后就开标过程和开标记录涉及或可能涉及的有关事由（包括但不限于：“投标报价”、“投标文件的格式”、“投标文件的提交”、“投标文件的补充、修改或撤回”等）向</w:t>
      </w:r>
      <w:r>
        <w:rPr>
          <w:rFonts w:hint="eastAsia" w:asciiTheme="majorEastAsia" w:hAnsiTheme="majorEastAsia" w:eastAsiaTheme="majorEastAsia" w:cstheme="majorEastAsia"/>
          <w:color w:val="auto"/>
          <w:highlight w:val="none"/>
        </w:rPr>
        <w:t>莆田市信成造价咨询有限公司</w:t>
      </w:r>
      <w:r>
        <w:rPr>
          <w:rStyle w:val="25"/>
          <w:rFonts w:hint="eastAsia" w:asciiTheme="majorEastAsia" w:hAnsiTheme="majorEastAsia" w:eastAsiaTheme="majorEastAsia" w:cstheme="majorEastAsia"/>
          <w:color w:val="auto"/>
          <w:highlight w:val="none"/>
        </w:rPr>
        <w:t>提出任何疑义或要求（包括质疑）。</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11.5投标截止时间后，参加投标的投标人不足三家的，不进行开标。同时，本次采购活动结束，莆田市信成造价咨询有限公司将依法组织后续采购活动（包括但不限于：重新招标、采用其他方式采购等）。</w:t>
      </w:r>
    </w:p>
    <w:p>
      <w:pPr>
        <w:pStyle w:val="18"/>
        <w:spacing w:before="75" w:after="75"/>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11.6投标截止时间后撤销投标的处理</w:t>
      </w:r>
      <w:r>
        <w:rPr>
          <w:rFonts w:ascii="宋体" w:hAnsi="宋体" w:eastAsia="宋体" w:cs="宋体"/>
          <w:color w:val="auto"/>
          <w:kern w:val="0"/>
          <w:sz w:val="24"/>
          <w:szCs w:val="24"/>
          <w:highlight w:val="none"/>
        </w:rPr>
        <w:br w:type="textWrapping"/>
      </w:r>
      <w:r>
        <w:rPr>
          <w:rFonts w:ascii="宋体" w:hAnsi="宋体" w:eastAsia="宋体" w:cs="宋体"/>
          <w:color w:val="auto"/>
          <w:kern w:val="0"/>
          <w:sz w:val="24"/>
          <w:szCs w:val="24"/>
          <w:highlight w:val="none"/>
        </w:rPr>
        <w:t>  投标截止时间后，投标人在投标有效期内撤销投标的，其撤销投标的行为无效。   </w:t>
      </w:r>
    </w:p>
    <w:p>
      <w:pPr>
        <w:pStyle w:val="18"/>
        <w:spacing w:before="75" w:after="75"/>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六、中标与政府采购合同</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12、中标</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12.1本项目推荐的中标候选人家数：详见招标文件第二章。</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12.2本项目中标人的确定：详见招标文件第二章。</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12.3中标公告</w:t>
      </w:r>
    </w:p>
    <w:p>
      <w:pPr>
        <w:widowControl/>
        <w:spacing w:before="75" w:after="75"/>
        <w:ind w:firstLine="48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（1）中标人确定之日起</w:t>
      </w:r>
      <w:r>
        <w:rPr>
          <w:rFonts w:ascii="Calibri" w:hAnsi="Calibri" w:eastAsia="宋体" w:cs="宋体"/>
          <w:color w:val="auto"/>
          <w:kern w:val="0"/>
          <w:sz w:val="24"/>
          <w:szCs w:val="24"/>
          <w:highlight w:val="none"/>
        </w:rPr>
        <w:t>2</w:t>
      </w:r>
      <w:r>
        <w:rPr>
          <w:rFonts w:ascii="宋体" w:hAnsi="宋体" w:eastAsia="宋体" w:cs="宋体"/>
          <w:color w:val="auto"/>
          <w:kern w:val="0"/>
          <w:sz w:val="24"/>
          <w:szCs w:val="24"/>
          <w:highlight w:val="none"/>
        </w:rPr>
        <w:t>个工作日内，</w:t>
      </w:r>
      <w:r>
        <w:rPr>
          <w:rFonts w:ascii="宋体" w:hAnsi="宋体" w:eastAsia="宋体" w:cs="宋体"/>
          <w:color w:val="auto"/>
          <w:kern w:val="0"/>
          <w:sz w:val="24"/>
          <w:szCs w:val="24"/>
          <w:highlight w:val="none"/>
          <w:u w:val="single"/>
        </w:rPr>
        <w:t>莆田市信成造价咨询有限公司</w:t>
      </w:r>
      <w:r>
        <w:rPr>
          <w:rFonts w:ascii="宋体" w:hAnsi="宋体" w:eastAsia="宋体" w:cs="宋体"/>
          <w:color w:val="auto"/>
          <w:kern w:val="0"/>
          <w:sz w:val="24"/>
          <w:szCs w:val="24"/>
          <w:highlight w:val="none"/>
        </w:rPr>
        <w:t>将在招标文件载明的指定媒体以中标公告的形式发布中标结果。</w:t>
      </w:r>
    </w:p>
    <w:p>
      <w:pPr>
        <w:widowControl/>
        <w:spacing w:before="75" w:after="75"/>
        <w:ind w:firstLine="48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（2）中标公告的公告期限为</w:t>
      </w:r>
      <w:r>
        <w:rPr>
          <w:rFonts w:ascii="Calibri" w:hAnsi="Calibri" w:eastAsia="宋体" w:cs="宋体"/>
          <w:color w:val="auto"/>
          <w:kern w:val="0"/>
          <w:sz w:val="24"/>
          <w:szCs w:val="24"/>
          <w:highlight w:val="none"/>
        </w:rPr>
        <w:t>1</w:t>
      </w:r>
      <w:r>
        <w:rPr>
          <w:rFonts w:ascii="宋体" w:hAnsi="宋体" w:eastAsia="宋体" w:cs="宋体"/>
          <w:color w:val="auto"/>
          <w:kern w:val="0"/>
          <w:sz w:val="24"/>
          <w:szCs w:val="24"/>
          <w:highlight w:val="none"/>
        </w:rPr>
        <w:t>个工作日。</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12.4中标通知书</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（1）中标公告发布的同时，莆田市信成造价咨询有限公司将向中标人发出中标通知书。</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（2）中标通知书发出后，采购人不得违法改变中标结果，中标人无正当理由不得放弃中标。</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13、政府采购合同</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13.2签订时限：自中标通知书发出之日起30个日历日内。</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13.3政府采购合同的履行、违约责任和解决争议的方法等适用</w:t>
      </w:r>
      <w:r>
        <w:rPr>
          <w:rFonts w:ascii="宋体" w:hAnsi="宋体" w:eastAsia="宋体" w:cs="宋体"/>
          <w:color w:val="auto"/>
          <w:kern w:val="0"/>
          <w:sz w:val="24"/>
          <w:szCs w:val="24"/>
          <w:highlight w:val="none"/>
        </w:rPr>
        <w:t>民法典</w:t>
      </w:r>
      <w:r>
        <w:rPr>
          <w:rFonts w:hint="eastAsia" w:asciiTheme="majorEastAsia" w:hAnsiTheme="majorEastAsia" w:eastAsiaTheme="majorEastAsia" w:cstheme="majorEastAsia"/>
          <w:color w:val="auto"/>
          <w:highlight w:val="none"/>
        </w:rPr>
        <w:t>。</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13.4采购人与中标人应根据政府采购合同的约定依法履行合同义务。</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13.5政府采购合同履行过程中，采购人若需追加与合同标的相同的货物或服务，则追加采购金额不得超过原合同采购金额的10%。</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13.6中标人在政府采购合同履行过程中应遵守有关法律、法规和规章的强制性规定（即使前述强制性规定有可能在招标文件中未予列明）。</w:t>
      </w:r>
    </w:p>
    <w:p>
      <w:pPr>
        <w:pStyle w:val="18"/>
        <w:spacing w:before="75" w:after="75"/>
        <w:rPr>
          <w:rFonts w:asciiTheme="majorEastAsia" w:hAnsiTheme="majorEastAsia" w:eastAsiaTheme="majorEastAsia" w:cstheme="majorEastAsia"/>
          <w:color w:val="auto"/>
          <w:highlight w:val="none"/>
        </w:rPr>
      </w:pPr>
    </w:p>
    <w:p>
      <w:pPr>
        <w:pStyle w:val="18"/>
        <w:spacing w:before="75" w:after="75"/>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七、询问、质疑与投诉</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14、询问</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14.1潜在投标人或投标人对本次采购活动的有关事项若有疑问，可向莆田市信成造价咨询有限公司提出询问，莆田市信成造价咨询有限公司将按照政府采购法及实施条例的有关规定进行答复。</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15、质疑</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15.1</w:t>
      </w:r>
      <w:r>
        <w:rPr>
          <w:rFonts w:ascii="宋体" w:hAnsi="宋体" w:eastAsia="宋体" w:cs="宋体"/>
          <w:color w:val="auto"/>
          <w:kern w:val="0"/>
          <w:sz w:val="24"/>
          <w:szCs w:val="24"/>
          <w:highlight w:val="none"/>
        </w:rPr>
        <w:t>针对同一采购程序环节的质疑应在政府采购法及实施条例的时限内一次性提出，对一个项目的不同采购包提出质疑的，应当将各采购包质疑事项集中在一份质疑函中提出，并同时符合下列条件：</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（1）对招标文件提出质疑的，质疑人应为潜在投标人，且两者的身份、名称等均应保持一致。对采购过程、结果提出质疑的，质疑人应为投标人，且两者的身份、名称等均应保持一致。</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（2）质疑人应按照招标文件第二章规定方式提交质疑函。</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（3）质疑函应包括下列主要内容：</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①质疑人的基本信息，至少包括：全称、地址、邮政编码等；</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②所质疑项目的基本信息，至少包括：</w:t>
      </w:r>
      <w:r>
        <w:rPr>
          <w:rFonts w:hint="eastAsia" w:asciiTheme="majorEastAsia" w:hAnsiTheme="majorEastAsia" w:eastAsiaTheme="majorEastAsia" w:cstheme="majorEastAsia"/>
          <w:color w:val="auto"/>
          <w:kern w:val="0"/>
          <w:sz w:val="24"/>
          <w:highlight w:val="none"/>
          <w:lang w:eastAsia="zh-CN"/>
        </w:rPr>
        <w:t>项目</w:t>
      </w:r>
      <w:r>
        <w:rPr>
          <w:rFonts w:hint="eastAsia" w:asciiTheme="majorEastAsia" w:hAnsiTheme="majorEastAsia" w:eastAsiaTheme="majorEastAsia" w:cstheme="majorEastAsia"/>
          <w:color w:val="auto"/>
          <w:kern w:val="0"/>
          <w:sz w:val="24"/>
          <w:highlight w:val="none"/>
        </w:rPr>
        <w:t>编号、项目名称等；</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③所质疑的具体事项（以下简称：“质疑事项”）；</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④针对质疑事项提出的明确请求，前述明确请求指质疑人提出质疑的目的以及希望莆田市信成造价咨询有限公司对其质疑作出的处理结果，如：暂停招标投标活动、修改招标文件、停止或纠正违法违规行为、中标结果无效、废标、重新招标等；</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⑤针对质疑事项导致质疑人自身权益受到损害的必要证明材料，至少包括：</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a.质疑人代表的身份证明材料：</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a2若本项目接受自然人投标且质疑人为自然人的，提供本人的身份证复印件。</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b.其他证明材料（即事实依据和必要的法律依据）包括但不限于下列材料：</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b1所质疑的具体事项是与自已有利害关系的证明材料；</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b2质疑函所述事实存在的证明材料，如：采购文件、采购过程或中标结果违法违规或不符合采购文件要求等证明材料；</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b3依法应终止采购程序的证明材料；</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b4应重新采购的证明材料；</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b5采购文件、采购过程或中标、成交结果损害自已合法权益的证明材料等；</w:t>
      </w:r>
    </w:p>
    <w:p>
      <w:pPr>
        <w:widowControl/>
        <w:spacing w:before="58" w:after="58"/>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Fonts w:hint="eastAsia" w:asciiTheme="majorEastAsia" w:hAnsiTheme="majorEastAsia" w:eastAsiaTheme="majorEastAsia" w:cstheme="majorEastAsia"/>
          <w:b/>
          <w:bCs/>
          <w:color w:val="auto"/>
          <w:kern w:val="0"/>
          <w:sz w:val="24"/>
          <w:highlight w:val="none"/>
        </w:rPr>
        <w:t>视为无效</w:t>
      </w:r>
      <w:r>
        <w:rPr>
          <w:rFonts w:hint="eastAsia" w:asciiTheme="majorEastAsia" w:hAnsiTheme="majorEastAsia" w:eastAsiaTheme="majorEastAsia" w:cstheme="majorEastAsia"/>
          <w:color w:val="auto"/>
          <w:kern w:val="0"/>
          <w:sz w:val="24"/>
          <w:highlight w:val="none"/>
        </w:rPr>
        <w:t>）。</w:t>
      </w:r>
      <w:r>
        <w:rPr>
          <w:rFonts w:hint="eastAsia" w:asciiTheme="majorEastAsia" w:hAnsiTheme="majorEastAsia" w:eastAsiaTheme="majorEastAsia" w:cstheme="majorEastAsia"/>
          <w:color w:val="auto"/>
          <w:kern w:val="0"/>
          <w:sz w:val="24"/>
          <w:highlight w:val="none"/>
        </w:rPr>
        <w:br w:type="textWrapping"/>
      </w:r>
      <w:r>
        <w:rPr>
          <w:rFonts w:hint="eastAsia" w:asciiTheme="majorEastAsia" w:hAnsiTheme="majorEastAsia" w:eastAsiaTheme="majorEastAsia" w:cstheme="majorEastAsia"/>
          <w:color w:val="auto"/>
          <w:kern w:val="0"/>
          <w:sz w:val="24"/>
          <w:highlight w:val="none"/>
        </w:rPr>
        <w:t>   ⑥质疑人代表及其联系方法的信息，至少包括：姓名、手机、电子信箱、邮寄地址等。</w:t>
      </w:r>
      <w:r>
        <w:rPr>
          <w:rFonts w:hint="eastAsia" w:asciiTheme="majorEastAsia" w:hAnsiTheme="majorEastAsia" w:eastAsiaTheme="majorEastAsia" w:cstheme="majorEastAsia"/>
          <w:color w:val="auto"/>
          <w:kern w:val="0"/>
          <w:sz w:val="24"/>
          <w:highlight w:val="none"/>
        </w:rPr>
        <w:br w:type="textWrapping"/>
      </w:r>
      <w:r>
        <w:rPr>
          <w:rFonts w:hint="eastAsia" w:asciiTheme="majorEastAsia" w:hAnsiTheme="majorEastAsia" w:eastAsiaTheme="majorEastAsia" w:cstheme="majorEastAsia"/>
          <w:color w:val="auto"/>
          <w:kern w:val="0"/>
          <w:sz w:val="24"/>
          <w:highlight w:val="none"/>
        </w:rPr>
        <w:t>   ⑦提出质疑的日期。</w:t>
      </w:r>
    </w:p>
    <w:p>
      <w:pPr>
        <w:widowControl/>
        <w:spacing w:before="100" w:beforeAutospacing="1" w:after="100" w:afterAutospacing="1"/>
        <w:ind w:firstLine="369"/>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bCs/>
          <w:color w:val="auto"/>
          <w:kern w:val="0"/>
          <w:sz w:val="24"/>
          <w:highlight w:val="none"/>
        </w:rPr>
        <w:t>※质疑人为法人或其他组织的，质疑函应由单位负责人或委托代理人签字或盖章，并加盖投标人的单位公章。质疑人为自然人的，质疑函应由本人签字。</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15.2对不符合本章第15.1条规定的质疑，将按照下列规定进行处理：</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（1）不符合其中第（1）、（2）条规定的，书面告知质疑人不予受理及其理由。</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（2）不符合其中第（3）条规定的，书面告知质疑人修改、补充后在规定时限内重新提交质疑函。</w:t>
      </w:r>
    </w:p>
    <w:p>
      <w:pPr>
        <w:widowControl/>
        <w:spacing w:before="75" w:after="75"/>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15.3对符合本章第</w:t>
      </w:r>
      <w:r>
        <w:rPr>
          <w:rFonts w:ascii="Calibri" w:hAnsi="Calibri" w:eastAsia="宋体" w:cs="宋体"/>
          <w:color w:val="auto"/>
          <w:kern w:val="0"/>
          <w:sz w:val="24"/>
          <w:szCs w:val="24"/>
          <w:highlight w:val="none"/>
        </w:rPr>
        <w:t>15.1</w:t>
      </w:r>
      <w:r>
        <w:rPr>
          <w:rFonts w:ascii="宋体" w:hAnsi="宋体" w:eastAsia="宋体" w:cs="宋体"/>
          <w:color w:val="auto"/>
          <w:kern w:val="0"/>
          <w:sz w:val="24"/>
          <w:szCs w:val="24"/>
          <w:highlight w:val="none"/>
        </w:rPr>
        <w:t>条规定的质疑，将按照政府采购法及实施条例、政府采购质疑和投诉办法的有关规定进行答复。</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15.4招标文件的质疑：详见招标文件第二章。</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16、投诉</w:t>
      </w:r>
    </w:p>
    <w:p>
      <w:pPr>
        <w:pStyle w:val="18"/>
        <w:spacing w:before="75" w:after="75"/>
        <w:rPr>
          <w:rFonts w:asciiTheme="majorEastAsia" w:hAnsiTheme="majorEastAsia" w:eastAsiaTheme="majorEastAsia" w:cstheme="majorEastAsia"/>
          <w:color w:val="auto"/>
          <w:highlight w:val="none"/>
        </w:rPr>
      </w:pPr>
      <w:r>
        <w:rPr>
          <w:rFonts w:asciiTheme="majorEastAsia" w:hAnsiTheme="majorEastAsia" w:eastAsiaTheme="majorEastAsia" w:cstheme="majorEastAsia"/>
          <w:color w:val="auto"/>
          <w:highlight w:val="none"/>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16.2投诉应有明确的请求和必要的证明材料，投诉的事项不得超出已质疑事项的范围。</w:t>
      </w:r>
    </w:p>
    <w:p>
      <w:pPr>
        <w:pStyle w:val="18"/>
        <w:spacing w:before="75" w:after="75"/>
        <w:rPr>
          <w:rFonts w:asciiTheme="majorEastAsia" w:hAnsiTheme="majorEastAsia" w:eastAsiaTheme="majorEastAsia" w:cstheme="majorEastAsia"/>
          <w:color w:val="auto"/>
          <w:highlight w:val="none"/>
        </w:rPr>
      </w:pPr>
    </w:p>
    <w:p>
      <w:pPr>
        <w:pStyle w:val="18"/>
        <w:spacing w:before="75" w:after="75"/>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八、政府采购政策</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17、政府采购政策由财政部根据国家的经济和社会发展政策并会同国家有关部委制定，包括但不限于下列具体政策要求：</w:t>
      </w:r>
    </w:p>
    <w:p>
      <w:pPr>
        <w:pStyle w:val="18"/>
        <w:spacing w:before="75" w:after="7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17.1进口产品指通过中国海关报关验放进入中国境内且产自关境外的产品，其中：</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（2）凡在海关特殊监管区域内企业生产或加工（包括从境外进口料件）销往境内其他地区的产品，不作为政府采购项下进口产品。</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（3）对从境外进入海关特殊监管区域，再经办理报关手续后从海关特殊监管区进入境内其他地区的产品，认定为进口产品。</w:t>
      </w:r>
    </w:p>
    <w:p>
      <w:pPr>
        <w:pStyle w:val="18"/>
        <w:spacing w:before="75" w:after="75"/>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（4）招标文件列明不允许或未列明允许进口产品参加投标的，均视为拒绝进口产品参加投标。</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（1）中小企业指符合下列条件的中型、小型、微型企业：</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②符合中小企业划分标准的个体工商户，在政府采购活动中视同中小企业。</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（2）在政府采购活动中，供应商提供的货物、工程或者服务符合下列情形的，享受本办法规定的中小企业扶持政策：</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①在货物采购项目中，货物由中小企业制造，即货物由中小企业生产且使用该中小企业商号或者注册商标；</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②在工程采购项目中，工程由中小企业承建，即工程施工单位为中小企业；</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③在服务采购项目中，服务由中小企业承接，即提供服务的人员为中小企业依照《中华人民共和国劳动合同法》 订立劳动合同的从业人员。</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在货物采购项目中，供应商提供的货物既有中小企业制造货物，也有大型企业制造货物的，不享受本办法规定的中小企业扶持政策。 </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以联合体形式参加政府采购活动，联合体各方均为中小企业的，联合体视同中小企业。其中，联合体各方均为小微企业的，联合体视同小微企业。</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①监狱企业参加采购活动时，应提供由省级以上监狱管理局、戒毒管理局（含新疆生产建设兵团）出具的属于监狱企业的证明文件。</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②监狱企业视同小型、微型企业。</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（4）残疾人福利性单位指同时符合下列条件的单位：</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①安置的残疾人占本单位在职职工人数的比例不低于25%（含25%），并且安置的残疾人人数不少于10人（含10人）；</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②依法与安置的每位残疾人签订了一年以上（含一年）的劳动合同或服务协议；</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③为安置的每位残疾人按月足额缴纳了基本养老保险、基本医疗保险、失业保险、工伤保险和生育保险等社会保险费；</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④通过银行等金融机构向安置的每位残疾人，按月支付了不低于单位所在区县适用的经省级人民政府批准的月最低工资标准的工资；</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⑤提供本单位制造的货物、承担的工程或服务，或提供其他残疾人福利性单位制造的货物（不包括使用非残疾人福利性单位注册商标的货物）。</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17.5信用记录指由财政部确定的有关网站提供的相关主体信用信息。信用记录的查询及使用应符合财政部文件（财库[2016]125号）规定。</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17.6为落实政府采购政策需满足的要求：详见招标文件第一章。</w:t>
      </w:r>
    </w:p>
    <w:p>
      <w:pPr>
        <w:widowControl/>
        <w:spacing w:before="75" w:after="75"/>
        <w:jc w:val="left"/>
        <w:rPr>
          <w:rFonts w:asciiTheme="majorEastAsia" w:hAnsiTheme="majorEastAsia" w:eastAsiaTheme="majorEastAsia" w:cstheme="majorEastAsia"/>
          <w:b/>
          <w:color w:val="auto"/>
          <w:sz w:val="24"/>
          <w:highlight w:val="none"/>
        </w:rPr>
      </w:pPr>
      <w:r>
        <w:rPr>
          <w:rFonts w:ascii="宋体" w:hAnsi="宋体" w:eastAsia="宋体" w:cs="宋体"/>
          <w:color w:val="auto"/>
          <w:kern w:val="0"/>
          <w:sz w:val="24"/>
          <w:szCs w:val="24"/>
          <w:highlight w:val="none"/>
        </w:rPr>
        <w:t> </w:t>
      </w:r>
    </w:p>
    <w:p>
      <w:pPr>
        <w:pStyle w:val="18"/>
        <w:spacing w:before="75" w:after="75"/>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九、本项目的有关信息</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18、本项目的有关信息，包括但不限于：招标公告、更正公告（若有）、招标文件、招标文件的澄清或修改（若有）、中标公告、终止公告（若有）、废标公告（若有）等都将在招标文件载明的指定媒体发布。</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18.1指定媒体：详见招标文件第二章。</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18.2本项目的潜在投标人或投标人应随时关注指定媒体，否则产生不利后果由其自行承担。</w:t>
      </w:r>
    </w:p>
    <w:p>
      <w:pPr>
        <w:widowControl/>
        <w:spacing w:after="150"/>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bCs/>
          <w:color w:val="auto"/>
          <w:kern w:val="0"/>
          <w:sz w:val="24"/>
          <w:highlight w:val="none"/>
        </w:rPr>
        <w:t>十、其他事项</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19、其他事项：详见招标文件第二章。</w:t>
      </w:r>
    </w:p>
    <w:p>
      <w:pPr>
        <w:pStyle w:val="18"/>
        <w:spacing w:before="75" w:after="75"/>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pPr>
        <w:pStyle w:val="18"/>
        <w:spacing w:before="75" w:after="75"/>
        <w:ind w:firstLine="480"/>
        <w:rPr>
          <w:rFonts w:hint="eastAsia"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 19.2其他：详见招标文件第二章。</w:t>
      </w:r>
    </w:p>
    <w:p>
      <w:pPr>
        <w:pStyle w:val="18"/>
        <w:spacing w:before="75" w:after="75"/>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sz w:val="32"/>
          <w:szCs w:val="32"/>
          <w:highlight w:val="none"/>
        </w:rPr>
        <w:t>第四章   资格审查与评标</w:t>
      </w:r>
    </w:p>
    <w:p>
      <w:pPr>
        <w:pStyle w:val="18"/>
        <w:spacing w:before="75" w:after="75"/>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一、资格审查</w:t>
      </w:r>
    </w:p>
    <w:p>
      <w:pPr>
        <w:pStyle w:val="18"/>
        <w:spacing w:line="440" w:lineRule="exact"/>
        <w:rPr>
          <w:color w:val="auto"/>
          <w:highlight w:val="none"/>
        </w:rPr>
      </w:pPr>
      <w:r>
        <w:rPr>
          <w:rFonts w:hint="eastAsia" w:asciiTheme="majorEastAsia" w:hAnsiTheme="majorEastAsia" w:eastAsiaTheme="majorEastAsia" w:cstheme="majorEastAsia"/>
          <w:color w:val="auto"/>
          <w:highlight w:val="none"/>
        </w:rPr>
        <w:t>1、</w:t>
      </w:r>
      <w:r>
        <w:rPr>
          <w:color w:val="auto"/>
          <w:highlight w:val="none"/>
        </w:rPr>
        <w:t>开标结束后，</w:t>
      </w:r>
      <w:r>
        <w:rPr>
          <w:rFonts w:hint="eastAsia"/>
          <w:color w:val="auto"/>
          <w:highlight w:val="none"/>
          <w:u w:val="single"/>
        </w:rPr>
        <w:t>莆田市信成造价咨询有限公司</w:t>
      </w:r>
      <w:r>
        <w:rPr>
          <w:color w:val="auto"/>
          <w:highlight w:val="none"/>
        </w:rPr>
        <w:t>负责资格审查小组的组建及资格审查工作的组织。</w:t>
      </w:r>
    </w:p>
    <w:p>
      <w:pPr>
        <w:pStyle w:val="18"/>
        <w:spacing w:line="440" w:lineRule="exact"/>
        <w:rPr>
          <w:color w:val="auto"/>
          <w:highlight w:val="none"/>
        </w:rPr>
      </w:pPr>
      <w:r>
        <w:rPr>
          <w:color w:val="auto"/>
          <w:highlight w:val="none"/>
        </w:rPr>
        <w:t>1.1资格审查小组责具体审查事务。</w:t>
      </w:r>
    </w:p>
    <w:p>
      <w:pPr>
        <w:pStyle w:val="18"/>
        <w:spacing w:line="440" w:lineRule="exact"/>
        <w:rPr>
          <w:color w:val="auto"/>
          <w:highlight w:val="none"/>
        </w:rPr>
      </w:pPr>
      <w:r>
        <w:rPr>
          <w:color w:val="auto"/>
          <w:highlight w:val="none"/>
        </w:rPr>
        <w:t>1.2资格审查的依据是招标文件和投标文件。</w:t>
      </w:r>
    </w:p>
    <w:p>
      <w:pPr>
        <w:pStyle w:val="18"/>
        <w:spacing w:line="440" w:lineRule="exact"/>
        <w:rPr>
          <w:color w:val="auto"/>
          <w:highlight w:val="none"/>
        </w:rPr>
      </w:pPr>
      <w:r>
        <w:rPr>
          <w:color w:val="auto"/>
          <w:highlight w:val="none"/>
        </w:rPr>
        <w:t>1.3资格审查的范围及内容：投标文件（资格及资信证明部分），具体如下：</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①“投标函”；</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②“投标人的资格及资信证明文件”</w:t>
      </w:r>
    </w:p>
    <w:p>
      <w:pPr>
        <w:widowControl/>
        <w:numPr>
          <w:ilvl w:val="0"/>
          <w:numId w:val="3"/>
        </w:numPr>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一般资格证明文件：</w:t>
      </w:r>
    </w:p>
    <w:tbl>
      <w:tblPr>
        <w:tblStyle w:val="21"/>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199"/>
        <w:gridCol w:w="61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219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b/>
                <w:color w:val="auto"/>
                <w:kern w:val="0"/>
                <w:sz w:val="24"/>
                <w:highlight w:val="none"/>
              </w:rPr>
              <w:t>明细</w:t>
            </w:r>
          </w:p>
        </w:tc>
        <w:tc>
          <w:tcPr>
            <w:tcW w:w="613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b/>
                <w:color w:val="auto"/>
                <w:kern w:val="0"/>
                <w:sz w:val="24"/>
                <w:highlight w:val="none"/>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19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1）</w:t>
            </w:r>
            <w:r>
              <w:rPr>
                <w:rFonts w:ascii="宋体" w:hAnsi="宋体" w:eastAsia="宋体" w:cs="宋体"/>
                <w:color w:val="auto"/>
                <w:kern w:val="0"/>
                <w:sz w:val="24"/>
                <w:szCs w:val="24"/>
                <w:highlight w:val="none"/>
              </w:rPr>
              <w:t>单位授权书</w:t>
            </w:r>
          </w:p>
        </w:tc>
        <w:tc>
          <w:tcPr>
            <w:tcW w:w="613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①投标人（自然人除外）：若投标人代表为单位授权的委托代理人，应提供本授权书；若投标人代表为单位负责人，应在此项下提交其身份证正反面复印件，可不提供本授权书。 ②投标人为自然人的，可不填写本授权书。</w:t>
            </w:r>
            <w:r>
              <w:rPr>
                <w:rFonts w:hint="default" w:ascii="Calibri" w:hAnsi="Calibri" w:cs="Calibri"/>
                <w:color w:val="auto"/>
                <w:kern w:val="0"/>
                <w:sz w:val="24"/>
                <w:highlight w:val="none"/>
                <w:lang w:bidi="ar"/>
              </w:rPr>
              <w:t>③</w:t>
            </w:r>
            <w:r>
              <w:rPr>
                <w:rFonts w:ascii="宋体" w:hAnsi="宋体" w:cs="宋体"/>
                <w:b/>
                <w:bCs/>
                <w:color w:val="auto"/>
                <w:kern w:val="0"/>
                <w:sz w:val="24"/>
                <w:highlight w:val="none"/>
                <w:u w:val="single"/>
                <w:lang w:bidi="ar"/>
              </w:rPr>
              <w:t>纸质投标文件正本中的本授权书（若有）应为原件。电子投标文件中的本授权书（若有）应为原件的扫描件。</w:t>
            </w:r>
            <w:r>
              <w:rPr>
                <w:rFonts w:ascii="宋体" w:hAnsi="宋体" w:cs="宋体"/>
                <w:color w:val="auto"/>
                <w:kern w:val="0"/>
                <w:sz w:val="24"/>
                <w:highlight w:val="none"/>
                <w:lang w:bidi="ar"/>
              </w:rPr>
              <w:t>※投标人应按照招标文件第七章规定提供。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19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（2）营业执照等证明文件</w:t>
            </w:r>
          </w:p>
        </w:tc>
        <w:tc>
          <w:tcPr>
            <w:tcW w:w="613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19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20" w:lineRule="exact"/>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（3）提供</w:t>
            </w:r>
            <w:r>
              <w:rPr>
                <w:rFonts w:hint="eastAsia" w:asciiTheme="majorEastAsia" w:hAnsiTheme="majorEastAsia" w:eastAsiaTheme="majorEastAsia" w:cstheme="majorEastAsia"/>
                <w:color w:val="auto"/>
                <w:kern w:val="0"/>
                <w:sz w:val="24"/>
                <w:highlight w:val="none"/>
              </w:rPr>
              <w:t>财务状况报告（财务报告、或资信证明、或投标担保函）</w:t>
            </w:r>
          </w:p>
        </w:tc>
        <w:tc>
          <w:tcPr>
            <w:tcW w:w="6137"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20" w:lineRule="exac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①</w:t>
            </w:r>
            <w:r>
              <w:rPr>
                <w:rFonts w:hint="eastAsia" w:asciiTheme="majorEastAsia" w:hAnsiTheme="majorEastAsia" w:eastAsiaTheme="majorEastAsia" w:cstheme="majorEastAsia"/>
                <w:color w:val="auto"/>
                <w:sz w:val="24"/>
                <w:highlight w:val="none"/>
              </w:rPr>
              <w:t>投标人提供的财务报告复印件（成立年限按照投标截止时间推算）应符合下列规定：</w:t>
            </w:r>
            <w:r>
              <w:rPr>
                <w:rFonts w:ascii="宋体" w:hAnsi="宋体" w:eastAsia="宋体" w:cs="宋体"/>
                <w:color w:val="auto"/>
                <w:kern w:val="0"/>
                <w:sz w:val="24"/>
                <w:szCs w:val="24"/>
                <w:highlight w:val="none"/>
              </w:rPr>
              <w:t>a.</w:t>
            </w:r>
            <w:r>
              <w:rPr>
                <w:rFonts w:hint="eastAsia" w:asciiTheme="majorEastAsia" w:hAnsiTheme="majorEastAsia" w:eastAsiaTheme="majorEastAsia" w:cstheme="majorEastAsia"/>
                <w:color w:val="auto"/>
                <w:sz w:val="24"/>
                <w:highlight w:val="none"/>
              </w:rPr>
              <w:t>成立年限满1年及以上的投标人，</w:t>
            </w:r>
            <w:r>
              <w:rPr>
                <w:rFonts w:hint="eastAsia" w:asciiTheme="majorEastAsia" w:hAnsiTheme="majorEastAsia" w:eastAsiaTheme="majorEastAsia" w:cstheme="majorEastAsia"/>
                <w:b/>
                <w:bCs/>
                <w:color w:val="auto"/>
                <w:sz w:val="24"/>
                <w:highlight w:val="none"/>
                <w:u w:val="single"/>
              </w:rPr>
              <w:t>提供经审计的上一年度的年度财务报告。</w:t>
            </w:r>
            <w:r>
              <w:rPr>
                <w:rFonts w:ascii="宋体" w:hAnsi="宋体" w:eastAsia="宋体" w:cs="宋体"/>
                <w:color w:val="auto"/>
                <w:kern w:val="0"/>
                <w:sz w:val="24"/>
                <w:szCs w:val="24"/>
                <w:highlight w:val="none"/>
              </w:rPr>
              <w:t>b.</w:t>
            </w:r>
            <w:r>
              <w:rPr>
                <w:rFonts w:hint="eastAsia" w:asciiTheme="majorEastAsia" w:hAnsiTheme="majorEastAsia" w:eastAsiaTheme="majorEastAsia" w:cstheme="majorEastAsia"/>
                <w:color w:val="auto"/>
                <w:sz w:val="24"/>
                <w:highlight w:val="none"/>
              </w:rPr>
              <w:t>成立年限满半年但不足1年的投标人，提供该半年度中任一季度的季度财务报告或该半年度的半年度财务报告。※</w:t>
            </w:r>
            <w:r>
              <w:rPr>
                <w:rFonts w:ascii="宋体" w:hAnsi="宋体" w:eastAsia="宋体" w:cs="宋体"/>
                <w:color w:val="auto"/>
                <w:kern w:val="0"/>
                <w:sz w:val="24"/>
                <w:szCs w:val="24"/>
                <w:highlight w:val="none"/>
              </w:rPr>
              <w:t>无法按照以上a、b项规定提供财务报告复印件的投标人（包括但不限于：成立年限满1年及以上的投标人、成立年限满半年但不足1年的投标人、成立年限不足半年的投标人），应选择提供资信证明复印件。</w:t>
            </w:r>
            <w:r>
              <w:rPr>
                <w:rFonts w:hint="eastAsia" w:asciiTheme="majorEastAsia" w:hAnsiTheme="majorEastAsia" w:eastAsiaTheme="majorEastAsia" w:cstheme="majorEastAsia"/>
                <w:b/>
                <w:bCs/>
                <w:color w:val="auto"/>
                <w:sz w:val="24"/>
                <w:highlight w:val="none"/>
                <w:u w:val="single"/>
              </w:rPr>
              <w:t>提供的资信证明应由其基本存款账户银行开具，且内容应完整、清晰、整洁，内容包括但不限于（资金结算方面记录、执行结算纪律情况等）</w:t>
            </w:r>
            <w:r>
              <w:rPr>
                <w:rFonts w:hint="eastAsia" w:asciiTheme="majorEastAsia" w:hAnsiTheme="majorEastAsia" w:eastAsiaTheme="majorEastAsia" w:cstheme="majorEastAsia"/>
                <w:color w:val="auto"/>
                <w:sz w:val="24"/>
                <w:highlight w:val="none"/>
              </w:rPr>
              <w:t>。投标人只提供存款余额状况的，认定资信证明不完整，为无效投标。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19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（4）</w:t>
            </w:r>
            <w:r>
              <w:rPr>
                <w:rFonts w:hint="eastAsia" w:asciiTheme="majorEastAsia" w:hAnsiTheme="majorEastAsia" w:eastAsiaTheme="majorEastAsia" w:cstheme="majorEastAsia"/>
                <w:color w:val="auto"/>
                <w:kern w:val="0"/>
                <w:sz w:val="24"/>
                <w:highlight w:val="none"/>
              </w:rPr>
              <w:t>依法缴纳税收证明材料</w:t>
            </w:r>
          </w:p>
        </w:tc>
        <w:tc>
          <w:tcPr>
            <w:tcW w:w="613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①</w:t>
            </w:r>
            <w:r>
              <w:rPr>
                <w:rFonts w:hint="eastAsia" w:asciiTheme="majorEastAsia" w:hAnsiTheme="majorEastAsia" w:eastAsiaTheme="majorEastAsia" w:cstheme="majorEastAsia"/>
                <w:color w:val="auto"/>
                <w:kern w:val="0"/>
                <w:sz w:val="24"/>
                <w:highlight w:val="none"/>
              </w:rPr>
              <w:t>投标人提供的税收凭据复印件应符合下列规定：</w:t>
            </w:r>
            <w:r>
              <w:rPr>
                <w:rFonts w:ascii="宋体" w:hAnsi="宋体" w:eastAsia="宋体" w:cs="宋体"/>
                <w:color w:val="auto"/>
                <w:kern w:val="0"/>
                <w:sz w:val="24"/>
                <w:szCs w:val="24"/>
                <w:highlight w:val="none"/>
              </w:rPr>
              <w:t>a.</w:t>
            </w:r>
            <w:r>
              <w:rPr>
                <w:rFonts w:hint="eastAsia" w:asciiTheme="majorEastAsia" w:hAnsiTheme="majorEastAsia" w:eastAsiaTheme="majorEastAsia" w:cstheme="majorEastAsia"/>
                <w:color w:val="auto"/>
                <w:kern w:val="0"/>
                <w:sz w:val="24"/>
                <w:highlight w:val="none"/>
              </w:rPr>
              <w:t>投标截止时间前（不含投标截止时间的当月）已依法缴纳税收的投标人，提供投标截止时间前六个月（不含投标截止时间的当月）中任一月份的税收凭据复印件。</w:t>
            </w:r>
            <w:r>
              <w:rPr>
                <w:rFonts w:ascii="宋体" w:hAnsi="宋体" w:eastAsia="宋体" w:cs="宋体"/>
                <w:color w:val="auto"/>
                <w:kern w:val="0"/>
                <w:sz w:val="24"/>
                <w:szCs w:val="24"/>
                <w:highlight w:val="none"/>
              </w:rPr>
              <w:t xml:space="preserve"> b.</w:t>
            </w:r>
            <w:r>
              <w:rPr>
                <w:rFonts w:hint="eastAsia" w:asciiTheme="majorEastAsia" w:hAnsiTheme="majorEastAsia" w:eastAsiaTheme="majorEastAsia" w:cstheme="majorEastAsia"/>
                <w:color w:val="auto"/>
                <w:kern w:val="0"/>
                <w:sz w:val="24"/>
                <w:highlight w:val="none"/>
              </w:rPr>
              <w:t>投标截止时间的当月成立且已依法缴纳税收的投标人，提供投标截止时间当月的税收凭据复印件。</w:t>
            </w:r>
            <w:r>
              <w:rPr>
                <w:rFonts w:ascii="宋体" w:hAnsi="宋体" w:eastAsia="宋体" w:cs="宋体"/>
                <w:color w:val="auto"/>
                <w:kern w:val="0"/>
                <w:sz w:val="24"/>
                <w:szCs w:val="24"/>
                <w:highlight w:val="none"/>
              </w:rPr>
              <w:t>c.</w:t>
            </w:r>
            <w:r>
              <w:rPr>
                <w:rFonts w:hint="eastAsia" w:asciiTheme="majorEastAsia" w:hAnsiTheme="majorEastAsia" w:eastAsiaTheme="majorEastAsia" w:cstheme="majorEastAsia"/>
                <w:color w:val="auto"/>
                <w:kern w:val="0"/>
                <w:sz w:val="24"/>
                <w:highlight w:val="none"/>
              </w:rPr>
              <w:t>投标截止时间的当月成立但因税务机关原因导致其尚未依法缴纳税收的投标人，提供依法缴纳税收承诺书原件（格式自拟），该承诺书视同税收凭据。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19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（5）</w:t>
            </w:r>
            <w:r>
              <w:rPr>
                <w:rFonts w:hint="eastAsia" w:asciiTheme="majorEastAsia" w:hAnsiTheme="majorEastAsia" w:eastAsiaTheme="majorEastAsia" w:cstheme="majorEastAsia"/>
                <w:color w:val="auto"/>
                <w:kern w:val="0"/>
                <w:sz w:val="24"/>
                <w:highlight w:val="none"/>
              </w:rPr>
              <w:t>依法缴纳社会保障资金证明材料</w:t>
            </w:r>
          </w:p>
        </w:tc>
        <w:tc>
          <w:tcPr>
            <w:tcW w:w="613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①</w:t>
            </w:r>
            <w:r>
              <w:rPr>
                <w:rFonts w:hint="eastAsia" w:asciiTheme="majorEastAsia" w:hAnsiTheme="majorEastAsia" w:eastAsiaTheme="majorEastAsia" w:cstheme="majorEastAsia"/>
                <w:color w:val="auto"/>
                <w:kern w:val="0"/>
                <w:sz w:val="24"/>
                <w:highlight w:val="none"/>
              </w:rPr>
              <w:t>投标人提供的社会保险凭据复印件应符合下列规定：</w:t>
            </w:r>
            <w:r>
              <w:rPr>
                <w:rFonts w:ascii="宋体" w:hAnsi="宋体" w:eastAsia="宋体" w:cs="宋体"/>
                <w:color w:val="auto"/>
                <w:kern w:val="0"/>
                <w:sz w:val="24"/>
                <w:szCs w:val="24"/>
                <w:highlight w:val="none"/>
              </w:rPr>
              <w:t>a.</w:t>
            </w:r>
            <w:r>
              <w:rPr>
                <w:rFonts w:hint="eastAsia" w:asciiTheme="majorEastAsia" w:hAnsiTheme="majorEastAsia" w:eastAsiaTheme="majorEastAsia" w:cstheme="majorEastAsia"/>
                <w:color w:val="auto"/>
                <w:kern w:val="0"/>
                <w:sz w:val="24"/>
                <w:highlight w:val="none"/>
              </w:rPr>
              <w:t>投标截止时间前（不含投标截止时间的当月）已依法缴纳社会保障资金的投标人，提供投标截止时间前六个月（不含投标截止时间的当月）中任一月份的社会保险凭据复印件。</w:t>
            </w:r>
            <w:r>
              <w:rPr>
                <w:rFonts w:ascii="宋体" w:hAnsi="宋体" w:eastAsia="宋体" w:cs="宋体"/>
                <w:color w:val="auto"/>
                <w:kern w:val="0"/>
                <w:sz w:val="24"/>
                <w:szCs w:val="24"/>
                <w:highlight w:val="none"/>
              </w:rPr>
              <w:t>b.</w:t>
            </w:r>
            <w:r>
              <w:rPr>
                <w:rFonts w:hint="eastAsia" w:asciiTheme="majorEastAsia" w:hAnsiTheme="majorEastAsia" w:eastAsiaTheme="majorEastAsia" w:cstheme="majorEastAsia"/>
                <w:color w:val="auto"/>
                <w:kern w:val="0"/>
                <w:sz w:val="24"/>
                <w:highlight w:val="none"/>
              </w:rPr>
              <w:t>投标截止时间的当月成立且已依法缴纳社会保障资金的投标人，提供投标截止时间当月的社会保险凭据复印件。</w:t>
            </w:r>
            <w:r>
              <w:rPr>
                <w:rFonts w:ascii="宋体" w:hAnsi="宋体" w:eastAsia="宋体" w:cs="宋体"/>
                <w:color w:val="auto"/>
                <w:kern w:val="0"/>
                <w:sz w:val="24"/>
                <w:szCs w:val="24"/>
                <w:highlight w:val="none"/>
              </w:rPr>
              <w:t>c.投标截止标截止时间</w:t>
            </w:r>
            <w:r>
              <w:rPr>
                <w:rFonts w:hint="eastAsia" w:asciiTheme="majorEastAsia" w:hAnsiTheme="majorEastAsia" w:eastAsiaTheme="majorEastAsia" w:cstheme="majorEastAsia"/>
                <w:color w:val="auto"/>
                <w:kern w:val="0"/>
                <w:sz w:val="24"/>
                <w:highlight w:val="none"/>
              </w:rPr>
              <w:t>的当月成立但因税务机关/社会保障资金管理机关原因导致其尚未依法缴纳社会保障资金的投标人，提供依法缴纳社会保障资金承诺书原件（格式自拟），该承诺书视同社会保险凭据。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19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（6）</w:t>
            </w:r>
            <w:r>
              <w:rPr>
                <w:rFonts w:hint="eastAsia" w:asciiTheme="majorEastAsia" w:hAnsiTheme="majorEastAsia" w:eastAsiaTheme="majorEastAsia" w:cstheme="majorEastAsia"/>
                <w:color w:val="auto"/>
                <w:kern w:val="0"/>
                <w:sz w:val="24"/>
                <w:highlight w:val="none"/>
              </w:rPr>
              <w:t>具备履行合同所必需设备和专业技术能力的声明函</w:t>
            </w:r>
          </w:p>
        </w:tc>
        <w:tc>
          <w:tcPr>
            <w:tcW w:w="613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szCs w:val="24"/>
                <w:highlight w:val="none"/>
                <w:lang w:val="en-US" w:eastAsia="zh-CN" w:bidi="ar-SA"/>
              </w:rPr>
            </w:pPr>
            <w:r>
              <w:rPr>
                <w:rFonts w:ascii="宋体" w:hAnsi="宋体" w:eastAsia="宋体" w:cs="宋体"/>
                <w:color w:val="auto"/>
                <w:kern w:val="0"/>
                <w:sz w:val="24"/>
                <w:szCs w:val="24"/>
                <w:highlight w:val="none"/>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19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（7）参加采购活动前三年内在经营活动中没有重大违法记录的声明</w:t>
            </w:r>
          </w:p>
        </w:tc>
        <w:tc>
          <w:tcPr>
            <w:tcW w:w="613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19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（8）信用记录查询结果</w:t>
            </w:r>
          </w:p>
        </w:tc>
        <w:tc>
          <w:tcPr>
            <w:tcW w:w="613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19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（9）中小企业声明函（以资格条件落实中小企业扶持政策时适用 ）</w:t>
            </w:r>
          </w:p>
        </w:tc>
        <w:tc>
          <w:tcPr>
            <w:tcW w:w="613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19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（10）联合体协议（若有）</w:t>
            </w:r>
          </w:p>
        </w:tc>
        <w:tc>
          <w:tcPr>
            <w:tcW w:w="613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ajorEastAsia" w:hAnsiTheme="majorEastAsia" w:eastAsiaTheme="majorEastAsia" w:cstheme="majorEastAsia"/>
                <w:color w:val="auto"/>
                <w:highlight w:val="none"/>
              </w:rPr>
            </w:pPr>
            <w:r>
              <w:rPr>
                <w:rFonts w:ascii="宋体" w:hAnsi="宋体" w:eastAsia="宋体" w:cs="宋体"/>
                <w:color w:val="auto"/>
                <w:kern w:val="0"/>
                <w:sz w:val="24"/>
                <w:szCs w:val="24"/>
                <w:highlight w:val="none"/>
              </w:rPr>
              <w:t>①招标文件接受联合体投标且投标人为联合体的，投标人应提供本协议；否则无须提供。 ②本协议由委托代理人签字或盖章的，应按照招标文件第七章载明的格式提供“单位授权书”。</w:t>
            </w:r>
          </w:p>
        </w:tc>
      </w:tr>
    </w:tbl>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※备注说明</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①投标人应根据自身实际情况提供上述资格要求的证明材料，格式可参考招标文件第七章提供。</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②投标人提供的相应证明材料复印件均应符合：内容完整、清晰、整洁，并由投标人加盖其单位公章。</w:t>
      </w:r>
    </w:p>
    <w:p>
      <w:pPr>
        <w:pStyle w:val="6"/>
        <w:ind w:firstLine="0"/>
        <w:rPr>
          <w:rFonts w:asciiTheme="majorEastAsia" w:hAnsiTheme="majorEastAsia" w:eastAsiaTheme="majorEastAsia" w:cstheme="majorEastAsia"/>
          <w:color w:val="auto"/>
          <w:highlight w:val="none"/>
        </w:rPr>
      </w:pPr>
    </w:p>
    <w:p>
      <w:pPr>
        <w:widowControl/>
        <w:spacing w:after="156" w:afterLines="50"/>
        <w:ind w:firstLine="480" w:firstLineChars="20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②其他资格证明文件：</w:t>
      </w:r>
    </w:p>
    <w:p>
      <w:pPr>
        <w:pStyle w:val="18"/>
        <w:keepNext w:val="0"/>
        <w:keepLines w:val="0"/>
        <w:widowControl/>
        <w:suppressLineNumbers w:val="0"/>
        <w:spacing w:before="75" w:beforeAutospacing="0" w:after="75" w:afterAutospacing="0"/>
        <w:ind w:left="0" w:right="0" w:firstLine="480"/>
        <w:rPr>
          <w:color w:val="auto"/>
          <w:highlight w:val="none"/>
        </w:rPr>
      </w:pPr>
      <w:r>
        <w:rPr>
          <w:rStyle w:val="25"/>
          <w:color w:val="auto"/>
          <w:spacing w:val="0"/>
          <w:sz w:val="24"/>
          <w:szCs w:val="24"/>
          <w:highlight w:val="none"/>
        </w:rPr>
        <w:t>包：1</w:t>
      </w:r>
      <w:r>
        <w:rPr>
          <w:color w:val="auto"/>
          <w:spacing w:val="0"/>
          <w:sz w:val="24"/>
          <w:szCs w:val="24"/>
          <w:highlight w:val="none"/>
        </w:rPr>
        <w:t xml:space="preserve"> </w:t>
      </w:r>
    </w:p>
    <w:tbl>
      <w:tblPr>
        <w:tblStyle w:val="21"/>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3750"/>
        <w:gridCol w:w="45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2249"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b/>
                <w:color w:val="auto"/>
                <w:highlight w:val="none"/>
              </w:rPr>
            </w:pPr>
            <w:r>
              <w:rPr>
                <w:rFonts w:ascii="宋体" w:hAnsi="宋体" w:eastAsia="宋体" w:cs="宋体"/>
                <w:b/>
                <w:color w:val="auto"/>
                <w:kern w:val="0"/>
                <w:sz w:val="24"/>
                <w:szCs w:val="24"/>
                <w:highlight w:val="none"/>
                <w:lang w:val="en-US" w:eastAsia="zh-CN" w:bidi="ar"/>
              </w:rPr>
              <w:t>明细</w:t>
            </w:r>
          </w:p>
        </w:tc>
        <w:tc>
          <w:tcPr>
            <w:tcW w:w="275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b/>
                <w:color w:val="auto"/>
                <w:highlight w:val="none"/>
              </w:rPr>
            </w:pPr>
            <w:r>
              <w:rPr>
                <w:rFonts w:ascii="宋体" w:hAnsi="宋体" w:eastAsia="宋体" w:cs="宋体"/>
                <w:b/>
                <w:color w:val="auto"/>
                <w:kern w:val="0"/>
                <w:sz w:val="24"/>
                <w:szCs w:val="24"/>
                <w:highlight w:val="none"/>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招标文件规定的其他资格证明文件（若有）</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bl>
    <w:p>
      <w:pPr>
        <w:widowControl/>
        <w:spacing w:before="156" w:beforeLines="50"/>
        <w:ind w:firstLine="482"/>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③投标保证金。</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1.4有下列情形之一的，</w:t>
      </w:r>
      <w:r>
        <w:rPr>
          <w:rFonts w:hint="eastAsia" w:asciiTheme="majorEastAsia" w:hAnsiTheme="majorEastAsia" w:eastAsiaTheme="majorEastAsia" w:cstheme="majorEastAsia"/>
          <w:b/>
          <w:bCs/>
          <w:color w:val="auto"/>
          <w:kern w:val="0"/>
          <w:sz w:val="24"/>
          <w:highlight w:val="none"/>
        </w:rPr>
        <w:t>资格审查不合格：</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ascii="宋体" w:hAnsi="宋体" w:eastAsia="宋体" w:cs="宋体"/>
          <w:color w:val="auto"/>
          <w:kern w:val="0"/>
          <w:sz w:val="24"/>
          <w:szCs w:val="24"/>
          <w:highlight w:val="none"/>
        </w:rPr>
        <w:t>（1）</w:t>
      </w:r>
      <w:r>
        <w:rPr>
          <w:rFonts w:hint="eastAsia" w:asciiTheme="majorEastAsia" w:hAnsiTheme="majorEastAsia" w:eastAsiaTheme="majorEastAsia" w:cstheme="majorEastAsia"/>
          <w:color w:val="auto"/>
          <w:kern w:val="0"/>
          <w:sz w:val="24"/>
          <w:highlight w:val="none"/>
        </w:rPr>
        <w:t>一般情形：</w:t>
      </w:r>
    </w:p>
    <w:tbl>
      <w:tblPr>
        <w:tblStyle w:val="21"/>
        <w:tblW w:w="7834" w:type="dxa"/>
        <w:tblCellSpacing w:w="15" w:type="dxa"/>
        <w:tblInd w:w="1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5" w:hRule="atLeast"/>
          <w:tblCellSpacing w:w="15" w:type="dxa"/>
        </w:trPr>
        <w:tc>
          <w:tcPr>
            <w:tcW w:w="7774" w:type="dxa"/>
            <w:tcMar>
              <w:top w:w="0" w:type="dxa"/>
              <w:left w:w="105" w:type="dxa"/>
              <w:bottom w:w="0" w:type="dxa"/>
              <w:right w:w="105" w:type="dxa"/>
            </w:tcMar>
            <w:vAlign w:val="center"/>
          </w:tcPr>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8" w:hRule="atLeast"/>
          <w:tblCellSpacing w:w="15" w:type="dxa"/>
        </w:trPr>
        <w:tc>
          <w:tcPr>
            <w:tcW w:w="7774" w:type="dxa"/>
            <w:tcMar>
              <w:top w:w="0" w:type="dxa"/>
              <w:left w:w="105" w:type="dxa"/>
              <w:bottom w:w="0" w:type="dxa"/>
              <w:right w:w="105" w:type="dxa"/>
            </w:tcMar>
          </w:tcPr>
          <w:p>
            <w:pPr>
              <w:widowControl/>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未按照招标文件规定提交投标函；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2" w:hRule="atLeast"/>
          <w:tblCellSpacing w:w="15" w:type="dxa"/>
        </w:trPr>
        <w:tc>
          <w:tcPr>
            <w:tcW w:w="7774" w:type="dxa"/>
            <w:tcMar>
              <w:top w:w="0" w:type="dxa"/>
              <w:left w:w="105" w:type="dxa"/>
              <w:bottom w:w="0" w:type="dxa"/>
              <w:right w:w="105" w:type="dxa"/>
            </w:tcMar>
          </w:tcPr>
          <w:p>
            <w:pPr>
              <w:widowControl/>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未按照招标文件规定提交投标人的资格及资信文件；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2" w:hRule="atLeast"/>
          <w:tblCellSpacing w:w="15" w:type="dxa"/>
        </w:trPr>
        <w:tc>
          <w:tcPr>
            <w:tcW w:w="7774" w:type="dxa"/>
            <w:tcMar>
              <w:top w:w="0" w:type="dxa"/>
              <w:left w:w="105" w:type="dxa"/>
              <w:bottom w:w="0" w:type="dxa"/>
              <w:right w:w="105" w:type="dxa"/>
            </w:tcMar>
          </w:tcPr>
          <w:p>
            <w:pPr>
              <w:widowControl/>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未按照招标文件规定提交投标保证金。</w:t>
            </w:r>
          </w:p>
        </w:tc>
      </w:tr>
    </w:tbl>
    <w:p>
      <w:pPr>
        <w:widowControl/>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（2）本项目规定的其他情形：</w:t>
      </w:r>
    </w:p>
    <w:p>
      <w:pPr>
        <w:widowControl/>
        <w:spacing w:before="100" w:beforeAutospacing="1" w:after="100" w:afterAutospacing="1"/>
        <w:ind w:firstLine="480"/>
        <w:jc w:val="left"/>
        <w:rPr>
          <w:rFonts w:ascii="宋体" w:hAnsi="宋体" w:eastAsia="宋体" w:cs="宋体"/>
          <w:color w:val="auto"/>
          <w:kern w:val="0"/>
          <w:sz w:val="24"/>
          <w:szCs w:val="24"/>
          <w:highlight w:val="none"/>
        </w:rPr>
      </w:pPr>
      <w:r>
        <w:rPr>
          <w:rFonts w:ascii="宋体" w:hAnsi="宋体" w:eastAsia="宋体" w:cs="宋体"/>
          <w:b/>
          <w:bCs/>
          <w:color w:val="auto"/>
          <w:kern w:val="0"/>
          <w:sz w:val="24"/>
          <w:szCs w:val="24"/>
          <w:highlight w:val="none"/>
        </w:rPr>
        <w:t>包：1</w:t>
      </w:r>
      <w:r>
        <w:rPr>
          <w:rFonts w:ascii="宋体" w:hAnsi="宋体" w:eastAsia="宋体" w:cs="宋体"/>
          <w:color w:val="auto"/>
          <w:kern w:val="0"/>
          <w:sz w:val="24"/>
          <w:szCs w:val="24"/>
          <w:highlight w:val="none"/>
        </w:rPr>
        <w:t xml:space="preserve"> </w:t>
      </w:r>
      <w:r>
        <w:rPr>
          <w:rFonts w:ascii="宋体" w:hAnsi="宋体" w:eastAsia="宋体" w:cs="宋体"/>
          <w:color w:val="auto"/>
          <w:kern w:val="0"/>
          <w:sz w:val="24"/>
          <w:szCs w:val="24"/>
          <w:highlight w:val="none"/>
        </w:rPr>
        <w:br w:type="textWrapping"/>
      </w:r>
      <w:r>
        <w:rPr>
          <w:rFonts w:ascii="宋体" w:hAnsi="宋体" w:eastAsia="宋体" w:cs="宋体"/>
          <w:b/>
          <w:bCs/>
          <w:color w:val="auto"/>
          <w:kern w:val="0"/>
          <w:sz w:val="24"/>
          <w:szCs w:val="24"/>
          <w:highlight w:val="none"/>
        </w:rPr>
        <w:t>         无</w:t>
      </w:r>
    </w:p>
    <w:p>
      <w:pPr>
        <w:widowControl/>
        <w:spacing w:before="75" w:after="75" w:line="360" w:lineRule="auto"/>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1.5若本项目接受联合体投标且投标人为联合体，联合体中有同类资质的供应商按照联合体分工承担相同工作的，应先按照资质等级较低的供应商确定资质等级，再按照本章第1.2、1.3、1.4条规定进行资格审查。</w:t>
      </w:r>
    </w:p>
    <w:p>
      <w:pPr>
        <w:widowControl/>
        <w:spacing w:before="75" w:after="75" w:line="360" w:lineRule="auto"/>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2、资格审查情况不得私自外泄，有关信息由莆田市信成造价咨询有限公司统一对外发布。</w:t>
      </w:r>
    </w:p>
    <w:p>
      <w:pPr>
        <w:widowControl/>
        <w:spacing w:before="75" w:after="75" w:line="360" w:lineRule="auto"/>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3、资格审查合格的投标人不足三家的，不进行评标。同时，本次采购活动结束，莆田市信成造价咨询有限公司将依法组织后续采购活动（包括但不限于：重新招标、采用其他方式采购等）。</w:t>
      </w:r>
    </w:p>
    <w:p>
      <w:pPr>
        <w:widowControl/>
        <w:spacing w:before="75" w:after="75"/>
        <w:jc w:val="center"/>
        <w:rPr>
          <w:rFonts w:asciiTheme="majorEastAsia" w:hAnsiTheme="majorEastAsia" w:eastAsiaTheme="majorEastAsia" w:cstheme="majorEastAsia"/>
          <w:b/>
          <w:bCs/>
          <w:color w:val="auto"/>
          <w:kern w:val="0"/>
          <w:sz w:val="24"/>
          <w:highlight w:val="none"/>
        </w:rPr>
      </w:pPr>
      <w:r>
        <w:rPr>
          <w:rFonts w:hint="eastAsia" w:asciiTheme="majorEastAsia" w:hAnsiTheme="majorEastAsia" w:eastAsiaTheme="majorEastAsia" w:cstheme="majorEastAsia"/>
          <w:color w:val="auto"/>
          <w:kern w:val="0"/>
          <w:sz w:val="24"/>
          <w:highlight w:val="none"/>
        </w:rPr>
        <w:t> </w:t>
      </w:r>
      <w:r>
        <w:rPr>
          <w:rFonts w:hint="eastAsia" w:asciiTheme="majorEastAsia" w:hAnsiTheme="majorEastAsia" w:eastAsiaTheme="majorEastAsia" w:cstheme="majorEastAsia"/>
          <w:b/>
          <w:bCs/>
          <w:color w:val="auto"/>
          <w:kern w:val="0"/>
          <w:sz w:val="24"/>
          <w:highlight w:val="none"/>
        </w:rPr>
        <w:t>二、评标</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w:t>
      </w:r>
      <w:r>
        <w:rPr>
          <w:rFonts w:ascii="宋体" w:hAnsi="宋体" w:eastAsia="宋体" w:cs="宋体"/>
          <w:color w:val="auto"/>
          <w:kern w:val="0"/>
          <w:sz w:val="24"/>
          <w:szCs w:val="24"/>
          <w:highlight w:val="none"/>
        </w:rPr>
        <w:t>资格审查结束后，由</w:t>
      </w:r>
      <w:r>
        <w:rPr>
          <w:rFonts w:hint="eastAsia" w:asciiTheme="majorEastAsia" w:hAnsiTheme="majorEastAsia" w:eastAsiaTheme="majorEastAsia" w:cstheme="majorEastAsia"/>
          <w:color w:val="auto"/>
          <w:kern w:val="0"/>
          <w:sz w:val="24"/>
          <w:highlight w:val="none"/>
        </w:rPr>
        <w:t>莆田市信成造价咨询有限公司负责评标委员会的组建及评标工作的组织。</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5、评标委员会</w:t>
      </w:r>
    </w:p>
    <w:p>
      <w:pPr>
        <w:pStyle w:val="18"/>
        <w:widowControl/>
        <w:spacing w:before="75" w:after="75"/>
        <w:rPr>
          <w:rStyle w:val="25"/>
          <w:rFonts w:hint="eastAsia" w:asciiTheme="majorEastAsia" w:hAnsiTheme="majorEastAsia" w:eastAsiaTheme="majorEastAsia" w:cstheme="majorEastAsia"/>
          <w:b w:val="0"/>
          <w:bCs/>
          <w:color w:val="auto"/>
          <w:kern w:val="2"/>
          <w:sz w:val="24"/>
          <w:szCs w:val="24"/>
          <w:highlight w:val="none"/>
          <w:lang w:val="en-US" w:eastAsia="zh-CN" w:bidi="ar-SA"/>
        </w:rPr>
      </w:pPr>
      <w:r>
        <w:rPr>
          <w:rStyle w:val="25"/>
          <w:rFonts w:hint="eastAsia" w:asciiTheme="majorEastAsia" w:hAnsiTheme="majorEastAsia" w:eastAsiaTheme="majorEastAsia" w:cstheme="majorEastAsia"/>
          <w:b w:val="0"/>
          <w:bCs/>
          <w:color w:val="auto"/>
          <w:kern w:val="2"/>
          <w:sz w:val="24"/>
          <w:szCs w:val="24"/>
          <w:highlight w:val="none"/>
          <w:lang w:val="en-US" w:eastAsia="zh-CN" w:bidi="ar-SA"/>
        </w:rPr>
        <w:t>5.1评标委员会共</w:t>
      </w:r>
      <w:r>
        <w:rPr>
          <w:rStyle w:val="25"/>
          <w:rFonts w:hint="eastAsia" w:asciiTheme="majorEastAsia" w:hAnsiTheme="majorEastAsia" w:eastAsiaTheme="majorEastAsia" w:cstheme="majorEastAsia"/>
          <w:b w:val="0"/>
          <w:bCs/>
          <w:color w:val="auto"/>
          <w:kern w:val="2"/>
          <w:sz w:val="24"/>
          <w:szCs w:val="24"/>
          <w:highlight w:val="none"/>
          <w:u w:val="single"/>
          <w:lang w:val="en-US" w:eastAsia="zh-CN" w:bidi="ar-SA"/>
        </w:rPr>
        <w:t>7</w:t>
      </w:r>
      <w:r>
        <w:rPr>
          <w:rStyle w:val="25"/>
          <w:rFonts w:hint="eastAsia" w:asciiTheme="majorEastAsia" w:hAnsiTheme="majorEastAsia" w:eastAsiaTheme="majorEastAsia" w:cstheme="majorEastAsia"/>
          <w:b w:val="0"/>
          <w:bCs/>
          <w:color w:val="auto"/>
          <w:kern w:val="2"/>
          <w:sz w:val="24"/>
          <w:szCs w:val="24"/>
          <w:highlight w:val="none"/>
          <w:lang w:val="en-US" w:eastAsia="zh-CN" w:bidi="ar-SA"/>
        </w:rPr>
        <w:t>人（以下简称“评委”），由专家库随机抽取产生。</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5.2评标委员会负责具体评标事务，并按照下列原则依法独立履行有关职责：</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（1）评标应保护国家利益、社会公共利益和各方当事人合法权益，提高采购效益，保证项目质量。</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（2）评标应遵循公平、公正、科学、严谨和择优原则。</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（3）评标的依据是招标文件和投标文件。</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（4）应按照招标文件规定推荐中标候选人或确定中标人。</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（5）评标应遵守下列评标纪律：</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①评标情况不得私自外泄，有关信息由莆田市信成造价咨询有限公司统一对外发布。</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②对莆田市信成造价咨询有限公司或投标人提供的要求保密的资料，不得摘记翻印和外传。</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③不得收受投标人或有关人员的任何礼物，不得串联鼓动其他人袒护某投标人。若与投标人存在利害关系，则应主动声明并回避。</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④全体评委应按照招标文件规定进行评标，一切认定事项应查有实据且不得弄虚作假。</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⑤评标中应充分发扬民主，推荐中标候选人或确定中标人后要服从评标报告。</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bCs/>
          <w:color w:val="auto"/>
          <w:kern w:val="0"/>
          <w:sz w:val="24"/>
          <w:highlight w:val="none"/>
        </w:rPr>
        <w:t>※对违反评标纪律的评委，将取消其评委资格，对评标工作造成严重损失者将予以通报批评乃至追究法律责任。</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6、评标程序</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6.1评标前的准备工作</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（1）全体评委应认真审阅招标文件，了解评委应履行或遵守的职责、义务和评标纪律。</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（2）参加评标委员会的采购人代表可对本项目的背景和采购需求进行介绍，介绍材料应以书面形式提交（随采购文件一并存档），介绍内容不得含有歧视性、倾向性意见，不得超出招标文件所述范围。</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6.2符合性审查</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（1）评标委员会依据招标文件的实质性要求，对通过资格审查的投标文件进行符合性审查，以确定其是否满足招标文件的实质性要求。</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（2）满足招标文件的实质性要求指投标文件对招标文件实质性要求的响应不存在重大偏差或保留。</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（5）评标委员会对所有投标人都执行相同的程序和标准。</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（6）有下列情形之一的，</w:t>
      </w:r>
      <w:r>
        <w:rPr>
          <w:rFonts w:hint="eastAsia" w:asciiTheme="majorEastAsia" w:hAnsiTheme="majorEastAsia" w:eastAsiaTheme="majorEastAsia" w:cstheme="majorEastAsia"/>
          <w:b/>
          <w:bCs/>
          <w:color w:val="auto"/>
          <w:kern w:val="0"/>
          <w:sz w:val="24"/>
          <w:highlight w:val="none"/>
        </w:rPr>
        <w:t>符合性审查不合格：</w:t>
      </w:r>
    </w:p>
    <w:p>
      <w:pPr>
        <w:widowControl/>
        <w:spacing w:before="75" w:after="75"/>
        <w:ind w:firstLine="48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①</w:t>
      </w:r>
      <w:r>
        <w:rPr>
          <w:rFonts w:ascii="宋体" w:hAnsi="宋体" w:eastAsia="宋体" w:cs="宋体"/>
          <w:color w:val="auto"/>
          <w:kern w:val="0"/>
          <w:sz w:val="24"/>
          <w:szCs w:val="24"/>
          <w:highlight w:val="none"/>
        </w:rPr>
        <w:t>项目一般情形：</w:t>
      </w:r>
    </w:p>
    <w:tbl>
      <w:tblPr>
        <w:tblStyle w:val="21"/>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bCs/>
                <w:color w:val="auto"/>
                <w:kern w:val="0"/>
                <w:sz w:val="24"/>
                <w:szCs w:val="24"/>
                <w:highlight w:val="none"/>
              </w:rPr>
            </w:pPr>
            <w:r>
              <w:rPr>
                <w:rFonts w:ascii="宋体" w:hAnsi="宋体" w:eastAsia="宋体" w:cs="宋体"/>
                <w:b/>
                <w:bCs/>
                <w:color w:val="auto"/>
                <w:kern w:val="0"/>
                <w:sz w:val="24"/>
                <w:szCs w:val="24"/>
                <w:highlight w:val="none"/>
              </w:rPr>
              <w:t>明细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投标文件对招标文件实质性要求的响应存在重大偏离或保留。</w:t>
            </w:r>
          </w:p>
        </w:tc>
      </w:tr>
    </w:tbl>
    <w:p>
      <w:pPr>
        <w:widowControl/>
        <w:spacing w:before="75" w:after="75"/>
        <w:ind w:firstLine="48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②</w:t>
      </w:r>
      <w:r>
        <w:rPr>
          <w:rFonts w:ascii="宋体" w:hAnsi="宋体" w:eastAsia="宋体" w:cs="宋体"/>
          <w:color w:val="auto"/>
          <w:kern w:val="0"/>
          <w:sz w:val="24"/>
          <w:szCs w:val="24"/>
          <w:highlight w:val="none"/>
        </w:rPr>
        <w:t>本项目规定的其他情形：</w:t>
      </w:r>
      <w:r>
        <w:rPr>
          <w:rFonts w:ascii="宋体" w:hAnsi="宋体" w:eastAsia="宋体" w:cs="宋体"/>
          <w:color w:val="auto"/>
          <w:kern w:val="0"/>
          <w:sz w:val="24"/>
          <w:szCs w:val="24"/>
          <w:highlight w:val="none"/>
        </w:rPr>
        <w:br w:type="textWrapping"/>
      </w:r>
      <w:r>
        <w:rPr>
          <w:rFonts w:ascii="宋体" w:hAnsi="宋体" w:eastAsia="宋体" w:cs="宋体"/>
          <w:color w:val="auto"/>
          <w:kern w:val="0"/>
          <w:sz w:val="24"/>
          <w:szCs w:val="24"/>
          <w:highlight w:val="none"/>
        </w:rPr>
        <w:t xml:space="preserve">包：1 </w:t>
      </w:r>
      <w:r>
        <w:rPr>
          <w:rFonts w:ascii="宋体" w:hAnsi="宋体" w:eastAsia="宋体" w:cs="宋体"/>
          <w:color w:val="auto"/>
          <w:kern w:val="0"/>
          <w:sz w:val="24"/>
          <w:szCs w:val="24"/>
          <w:highlight w:val="none"/>
        </w:rPr>
        <w:br w:type="textWrapping"/>
      </w:r>
      <w:r>
        <w:rPr>
          <w:rFonts w:ascii="宋体" w:hAnsi="宋体" w:eastAsia="宋体" w:cs="宋体"/>
          <w:color w:val="auto"/>
          <w:kern w:val="0"/>
          <w:sz w:val="24"/>
          <w:szCs w:val="24"/>
          <w:highlight w:val="none"/>
        </w:rPr>
        <w:t xml:space="preserve">包一般情形 </w:t>
      </w:r>
      <w:r>
        <w:rPr>
          <w:rFonts w:ascii="宋体" w:hAnsi="宋体" w:eastAsia="宋体" w:cs="宋体"/>
          <w:color w:val="auto"/>
          <w:kern w:val="0"/>
          <w:sz w:val="24"/>
          <w:szCs w:val="24"/>
          <w:highlight w:val="none"/>
        </w:rPr>
        <w:br w:type="textWrapping"/>
      </w:r>
      <w:r>
        <w:rPr>
          <w:rFonts w:ascii="宋体" w:hAnsi="宋体" w:eastAsia="宋体" w:cs="宋体"/>
          <w:b/>
          <w:bCs/>
          <w:color w:val="auto"/>
          <w:kern w:val="0"/>
          <w:sz w:val="24"/>
          <w:szCs w:val="24"/>
          <w:highlight w:val="none"/>
        </w:rPr>
        <w:t>         无</w:t>
      </w:r>
    </w:p>
    <w:p>
      <w:pPr>
        <w:widowControl/>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xml:space="preserve">技术符合性 </w:t>
      </w:r>
    </w:p>
    <w:tbl>
      <w:tblPr>
        <w:tblStyle w:val="21"/>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bCs/>
                <w:color w:val="auto"/>
                <w:kern w:val="0"/>
                <w:sz w:val="24"/>
                <w:szCs w:val="24"/>
                <w:highlight w:val="none"/>
              </w:rPr>
            </w:pPr>
            <w:r>
              <w:rPr>
                <w:rFonts w:ascii="宋体" w:hAnsi="宋体" w:eastAsia="宋体" w:cs="宋体"/>
                <w:b/>
                <w:bCs/>
                <w:color w:val="auto"/>
                <w:kern w:val="0"/>
                <w:sz w:val="24"/>
                <w:szCs w:val="24"/>
                <w:highlight w:val="none"/>
              </w:rPr>
              <w:t>明细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技术部分中不得出现报价部分的全部或部分的投标报价信息（或组成资料），否则符合性审查不合格。</w:t>
            </w:r>
          </w:p>
        </w:tc>
      </w:tr>
    </w:tbl>
    <w:p>
      <w:pPr>
        <w:widowControl/>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br w:type="textWrapping"/>
      </w:r>
      <w:r>
        <w:rPr>
          <w:rFonts w:ascii="宋体" w:hAnsi="宋体" w:eastAsia="宋体" w:cs="宋体"/>
          <w:color w:val="auto"/>
          <w:kern w:val="0"/>
          <w:sz w:val="24"/>
          <w:szCs w:val="24"/>
          <w:highlight w:val="none"/>
        </w:rPr>
        <w:t xml:space="preserve">商务符合性 </w:t>
      </w:r>
    </w:p>
    <w:tbl>
      <w:tblPr>
        <w:tblStyle w:val="21"/>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bCs/>
                <w:color w:val="auto"/>
                <w:kern w:val="0"/>
                <w:sz w:val="24"/>
                <w:szCs w:val="24"/>
                <w:highlight w:val="none"/>
              </w:rPr>
            </w:pPr>
            <w:r>
              <w:rPr>
                <w:rFonts w:ascii="宋体" w:hAnsi="宋体" w:eastAsia="宋体" w:cs="宋体"/>
                <w:b/>
                <w:bCs/>
                <w:color w:val="auto"/>
                <w:kern w:val="0"/>
                <w:sz w:val="24"/>
                <w:szCs w:val="24"/>
                <w:highlight w:val="none"/>
              </w:rPr>
              <w:t>明细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投标人的投标文件不满足招标文件“第五章 三、商务条件”中的任何一项要求的，其投标无效。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商务部分中不得出现报价部分的全部或部分的投标报价信息（或组成资料），否则符合性审查不合格。</w:t>
            </w:r>
          </w:p>
        </w:tc>
      </w:tr>
    </w:tbl>
    <w:p>
      <w:pPr>
        <w:widowControl/>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br w:type="textWrapping"/>
      </w:r>
      <w:r>
        <w:rPr>
          <w:rFonts w:ascii="宋体" w:hAnsi="宋体" w:eastAsia="宋体" w:cs="宋体"/>
          <w:color w:val="auto"/>
          <w:kern w:val="0"/>
          <w:sz w:val="24"/>
          <w:szCs w:val="24"/>
          <w:highlight w:val="none"/>
        </w:rPr>
        <w:t>附加符合性</w:t>
      </w:r>
      <w:r>
        <w:rPr>
          <w:rFonts w:ascii="宋体" w:hAnsi="宋体" w:eastAsia="宋体" w:cs="宋体"/>
          <w:color w:val="auto"/>
          <w:kern w:val="0"/>
          <w:sz w:val="24"/>
          <w:szCs w:val="24"/>
          <w:highlight w:val="none"/>
        </w:rPr>
        <w:br w:type="textWrapping"/>
      </w:r>
      <w:r>
        <w:rPr>
          <w:rFonts w:ascii="宋体" w:hAnsi="宋体" w:eastAsia="宋体" w:cs="宋体"/>
          <w:b/>
          <w:bCs/>
          <w:color w:val="auto"/>
          <w:kern w:val="0"/>
          <w:sz w:val="24"/>
          <w:szCs w:val="24"/>
          <w:highlight w:val="none"/>
        </w:rPr>
        <w:t>         无</w:t>
      </w:r>
      <w:r>
        <w:rPr>
          <w:rFonts w:ascii="宋体" w:hAnsi="宋体" w:eastAsia="宋体" w:cs="宋体"/>
          <w:color w:val="auto"/>
          <w:kern w:val="0"/>
          <w:sz w:val="24"/>
          <w:szCs w:val="24"/>
          <w:highlight w:val="none"/>
        </w:rPr>
        <w:br w:type="textWrapping"/>
      </w:r>
      <w:r>
        <w:rPr>
          <w:rFonts w:ascii="宋体" w:hAnsi="宋体" w:eastAsia="宋体" w:cs="宋体"/>
          <w:color w:val="auto"/>
          <w:kern w:val="0"/>
          <w:sz w:val="24"/>
          <w:szCs w:val="24"/>
          <w:highlight w:val="none"/>
        </w:rPr>
        <w:br w:type="textWrapping"/>
      </w:r>
      <w:r>
        <w:rPr>
          <w:rFonts w:ascii="宋体" w:hAnsi="宋体" w:eastAsia="宋体" w:cs="宋体"/>
          <w:color w:val="auto"/>
          <w:kern w:val="0"/>
          <w:sz w:val="24"/>
          <w:szCs w:val="24"/>
          <w:highlight w:val="none"/>
        </w:rPr>
        <w:t xml:space="preserve">价格符合性 </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6.3澄清有关问题</w:t>
      </w:r>
    </w:p>
    <w:p>
      <w:pPr>
        <w:widowControl/>
        <w:spacing w:before="75" w:after="75"/>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（1）对通过符合性审查的投标文件中含义不明确、同类问题表述不一致或有明显文字和计算错误的内容，评标委员会将以书面形式要求投标人作出必要的澄清、说明或补正。</w:t>
      </w:r>
    </w:p>
    <w:p>
      <w:pPr>
        <w:widowControl/>
        <w:spacing w:before="75" w:after="75"/>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（3）投标文件报价出现前后不一致的，除招标文件另有规定外，按照下列规定修正：</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①开标一览表内容与投标文件中相应内容不一致的，以开标一览表为准；</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②大写金额和小写金额不一致的，以大写金额为准；</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③单价金额小数点或百分比有明显错位的，以开标一览表的总价为准，并修改单价；</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④总价金额与按照单价汇总金额不一致的，以单价金额计算结果为准。</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bCs/>
          <w:color w:val="auto"/>
          <w:kern w:val="0"/>
          <w:sz w:val="24"/>
          <w:highlight w:val="none"/>
        </w:rPr>
        <w:t>※同时出现两种以上不一致的，按照前款规定的顺序修正。修正后的报价应按照本章第6.3条第（1）、（2）款规定经投标人确认后产生约束力，投标人不确认的，其投标无效。</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（4）关于细微偏差</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②评标委员会将以书面形式要求存在细微偏差的投标人在评标委员会规定的时间内予以补正。若无法补正，则评标委员会将按照不利于投标人的内容进行认定。</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（5）关于投标描述（即投标文件中描述的内容）</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①投标描述前后不一致且不涉及证明材料的：按照本章第6.3条第（1）、（2）款规定执行。</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②投标描述与证明材料不一致或多份证明材料之间不一致的：</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a.评标委员会将要求投标人进行书面澄清，并按照不利于投标人的内容进行评标。</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6.4比较与评价</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（1）按照本章第7条载明的评标方法和标准，对符合性审查合格的投标文件进行比较与评价。</w:t>
      </w:r>
    </w:p>
    <w:p>
      <w:pPr>
        <w:widowControl/>
        <w:spacing w:line="440" w:lineRule="exact"/>
        <w:ind w:firstLine="480"/>
        <w:jc w:val="left"/>
        <w:rPr>
          <w:rFonts w:ascii="宋体" w:hAnsi="宋体" w:cs="宋体"/>
          <w:color w:val="auto"/>
          <w:kern w:val="0"/>
          <w:sz w:val="24"/>
          <w:highlight w:val="none"/>
        </w:rPr>
      </w:pPr>
      <w:r>
        <w:rPr>
          <w:rFonts w:ascii="宋体" w:hAnsi="宋体" w:cs="宋体"/>
          <w:b/>
          <w:bCs/>
          <w:color w:val="auto"/>
          <w:kern w:val="0"/>
          <w:sz w:val="24"/>
          <w:highlight w:val="none"/>
          <w:u w:val="single"/>
        </w:rPr>
        <w:t>（2）关于相同品牌产品</w:t>
      </w:r>
      <w:r>
        <w:rPr>
          <w:rFonts w:ascii="宋体" w:hAnsi="宋体" w:cs="宋体"/>
          <w:b/>
          <w:bCs/>
          <w:color w:val="auto"/>
          <w:kern w:val="0"/>
          <w:sz w:val="24"/>
          <w:highlight w:val="none"/>
        </w:rPr>
        <w:t>（政府采购服务类项目不适用本条款规定）</w:t>
      </w:r>
    </w:p>
    <w:p>
      <w:pPr>
        <w:widowControl/>
        <w:spacing w:line="440" w:lineRule="exact"/>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①</w:t>
      </w:r>
      <w:r>
        <w:rPr>
          <w:rFonts w:ascii="宋体" w:hAnsi="宋体" w:cs="宋体"/>
          <w:color w:val="auto"/>
          <w:kern w:val="0"/>
          <w:sz w:val="24"/>
          <w:highlight w:val="none"/>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pPr>
        <w:widowControl/>
        <w:spacing w:line="440" w:lineRule="exact"/>
        <w:ind w:firstLine="480"/>
        <w:jc w:val="left"/>
        <w:rPr>
          <w:rFonts w:ascii="宋体" w:hAnsi="宋体" w:cs="宋体"/>
          <w:color w:val="auto"/>
          <w:kern w:val="0"/>
          <w:sz w:val="24"/>
          <w:highlight w:val="none"/>
        </w:rPr>
      </w:pPr>
      <w:r>
        <w:rPr>
          <w:rFonts w:ascii="宋体" w:hAnsi="宋体" w:cs="宋体"/>
          <w:color w:val="auto"/>
          <w:kern w:val="0"/>
          <w:sz w:val="24"/>
          <w:highlight w:val="none"/>
        </w:rPr>
        <w:t>a.招标文件规定的方式：</w:t>
      </w:r>
      <w:r>
        <w:rPr>
          <w:rFonts w:ascii="宋体" w:hAnsi="宋体" w:cs="宋体"/>
          <w:color w:val="auto"/>
          <w:kern w:val="0"/>
          <w:sz w:val="24"/>
          <w:highlight w:val="none"/>
          <w:u w:val="single"/>
        </w:rPr>
        <w:t>无</w:t>
      </w:r>
      <w:r>
        <w:rPr>
          <w:rFonts w:ascii="宋体" w:hAnsi="宋体" w:cs="宋体"/>
          <w:color w:val="auto"/>
          <w:kern w:val="0"/>
          <w:sz w:val="24"/>
          <w:highlight w:val="none"/>
        </w:rPr>
        <w:t>。</w:t>
      </w:r>
    </w:p>
    <w:p>
      <w:pPr>
        <w:widowControl/>
        <w:spacing w:line="440" w:lineRule="exact"/>
        <w:ind w:firstLine="480"/>
        <w:jc w:val="left"/>
        <w:rPr>
          <w:rFonts w:ascii="宋体" w:hAnsi="宋体" w:cs="宋体"/>
          <w:color w:val="auto"/>
          <w:kern w:val="0"/>
          <w:sz w:val="24"/>
          <w:highlight w:val="none"/>
        </w:rPr>
      </w:pPr>
      <w:r>
        <w:rPr>
          <w:rFonts w:ascii="宋体" w:hAnsi="宋体" w:cs="宋体"/>
          <w:color w:val="auto"/>
          <w:kern w:val="0"/>
          <w:sz w:val="24"/>
          <w:highlight w:val="none"/>
        </w:rPr>
        <w:t>b.招标文件未规定的，采取随机抽取方式确定，其他</w:t>
      </w:r>
      <w:r>
        <w:rPr>
          <w:rFonts w:ascii="宋体" w:hAnsi="宋体" w:cs="宋体"/>
          <w:b/>
          <w:bCs/>
          <w:color w:val="auto"/>
          <w:kern w:val="0"/>
          <w:sz w:val="24"/>
          <w:highlight w:val="none"/>
        </w:rPr>
        <w:t>投标无效。</w:t>
      </w:r>
    </w:p>
    <w:p>
      <w:pPr>
        <w:widowControl/>
        <w:spacing w:line="440" w:lineRule="exact"/>
        <w:ind w:firstLine="480"/>
        <w:jc w:val="left"/>
        <w:rPr>
          <w:rFonts w:ascii="宋体" w:hAnsi="宋体" w:cs="宋体"/>
          <w:color w:val="auto"/>
          <w:kern w:val="0"/>
          <w:sz w:val="24"/>
          <w:highlight w:val="none"/>
          <w:u w:val="single"/>
        </w:rPr>
      </w:pPr>
      <w:r>
        <w:rPr>
          <w:rFonts w:hint="eastAsia" w:ascii="宋体" w:hAnsi="宋体" w:cs="宋体"/>
          <w:color w:val="auto"/>
          <w:kern w:val="0"/>
          <w:sz w:val="24"/>
          <w:highlight w:val="none"/>
          <w:u w:val="single"/>
        </w:rPr>
        <w:t>②</w:t>
      </w:r>
      <w:r>
        <w:rPr>
          <w:rFonts w:ascii="宋体" w:hAnsi="宋体" w:cs="宋体"/>
          <w:color w:val="auto"/>
          <w:kern w:val="0"/>
          <w:sz w:val="24"/>
          <w:highlight w:val="none"/>
          <w:u w:val="single"/>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widowControl/>
        <w:spacing w:line="440" w:lineRule="exact"/>
        <w:ind w:firstLine="480"/>
        <w:jc w:val="left"/>
        <w:rPr>
          <w:rFonts w:ascii="宋体" w:hAnsi="宋体" w:cs="宋体"/>
          <w:color w:val="auto"/>
          <w:kern w:val="0"/>
          <w:sz w:val="24"/>
          <w:highlight w:val="none"/>
        </w:rPr>
      </w:pPr>
      <w:r>
        <w:rPr>
          <w:rFonts w:ascii="宋体" w:hAnsi="宋体" w:cs="宋体"/>
          <w:color w:val="auto"/>
          <w:kern w:val="0"/>
          <w:sz w:val="24"/>
          <w:highlight w:val="none"/>
        </w:rPr>
        <w:t>a.招标文件规定的方式：</w:t>
      </w:r>
      <w:r>
        <w:rPr>
          <w:rFonts w:ascii="宋体" w:hAnsi="宋体" w:cs="宋体"/>
          <w:color w:val="auto"/>
          <w:kern w:val="0"/>
          <w:sz w:val="24"/>
          <w:highlight w:val="none"/>
          <w:u w:val="single"/>
        </w:rPr>
        <w:t>无</w:t>
      </w:r>
      <w:r>
        <w:rPr>
          <w:rFonts w:ascii="宋体" w:hAnsi="宋体" w:cs="宋体"/>
          <w:color w:val="auto"/>
          <w:kern w:val="0"/>
          <w:sz w:val="24"/>
          <w:highlight w:val="none"/>
        </w:rPr>
        <w:t>。</w:t>
      </w:r>
    </w:p>
    <w:p>
      <w:pPr>
        <w:widowControl/>
        <w:spacing w:line="440" w:lineRule="exact"/>
        <w:ind w:firstLine="480"/>
        <w:jc w:val="left"/>
        <w:rPr>
          <w:rFonts w:ascii="宋体" w:hAnsi="宋体" w:cs="宋体"/>
          <w:color w:val="auto"/>
          <w:kern w:val="0"/>
          <w:sz w:val="24"/>
          <w:highlight w:val="none"/>
        </w:rPr>
      </w:pPr>
      <w:r>
        <w:rPr>
          <w:rFonts w:ascii="宋体" w:hAnsi="宋体" w:cs="宋体"/>
          <w:color w:val="auto"/>
          <w:kern w:val="0"/>
          <w:sz w:val="24"/>
          <w:highlight w:val="none"/>
        </w:rPr>
        <w:t>b.招标文件未规定的，采取随机抽取方式确定，其他同品牌投标人不作为中标候选人。</w:t>
      </w:r>
    </w:p>
    <w:p>
      <w:pPr>
        <w:widowControl/>
        <w:spacing w:line="440" w:lineRule="exact"/>
        <w:ind w:firstLine="480"/>
        <w:jc w:val="left"/>
        <w:rPr>
          <w:rFonts w:ascii="宋体" w:hAnsi="宋体" w:cs="宋体"/>
          <w:b/>
          <w:bCs/>
          <w:color w:val="auto"/>
          <w:kern w:val="0"/>
          <w:sz w:val="24"/>
          <w:highlight w:val="none"/>
          <w:u w:val="single"/>
        </w:rPr>
      </w:pPr>
      <w:r>
        <w:rPr>
          <w:rFonts w:hint="eastAsia" w:ascii="宋体" w:hAnsi="宋体" w:cs="宋体"/>
          <w:b/>
          <w:bCs/>
          <w:color w:val="auto"/>
          <w:kern w:val="0"/>
          <w:sz w:val="24"/>
          <w:highlight w:val="none"/>
        </w:rPr>
        <w:t>③</w:t>
      </w:r>
      <w:r>
        <w:rPr>
          <w:rFonts w:ascii="宋体" w:hAnsi="宋体" w:cs="宋体"/>
          <w:b/>
          <w:bCs/>
          <w:color w:val="auto"/>
          <w:kern w:val="0"/>
          <w:sz w:val="24"/>
          <w:highlight w:val="none"/>
          <w:u w:val="single"/>
        </w:rPr>
        <w:t>非单一产品采购项目，多家投标人提供的核心产品品牌相同的，按照本章第</w:t>
      </w:r>
      <w:r>
        <w:rPr>
          <w:rFonts w:ascii="Calibri" w:hAnsi="Calibri" w:cs="宋体"/>
          <w:b/>
          <w:bCs/>
          <w:color w:val="auto"/>
          <w:kern w:val="0"/>
          <w:sz w:val="24"/>
          <w:highlight w:val="none"/>
          <w:u w:val="single"/>
        </w:rPr>
        <w:t>6.4</w:t>
      </w:r>
      <w:r>
        <w:rPr>
          <w:rFonts w:ascii="宋体" w:hAnsi="宋体" w:cs="宋体"/>
          <w:b/>
          <w:bCs/>
          <w:color w:val="auto"/>
          <w:kern w:val="0"/>
          <w:sz w:val="24"/>
          <w:highlight w:val="none"/>
          <w:u w:val="single"/>
        </w:rPr>
        <w:t>条第（</w:t>
      </w:r>
      <w:r>
        <w:rPr>
          <w:rFonts w:ascii="Calibri" w:hAnsi="Calibri" w:cs="宋体"/>
          <w:b/>
          <w:bCs/>
          <w:color w:val="auto"/>
          <w:kern w:val="0"/>
          <w:sz w:val="24"/>
          <w:highlight w:val="none"/>
          <w:u w:val="single"/>
        </w:rPr>
        <w:t>2</w:t>
      </w:r>
      <w:r>
        <w:rPr>
          <w:rFonts w:ascii="宋体" w:hAnsi="宋体" w:cs="宋体"/>
          <w:b/>
          <w:bCs/>
          <w:color w:val="auto"/>
          <w:kern w:val="0"/>
          <w:sz w:val="24"/>
          <w:highlight w:val="none"/>
          <w:u w:val="single"/>
        </w:rPr>
        <w:t>）款第</w:t>
      </w:r>
      <w:r>
        <w:rPr>
          <w:rFonts w:hint="eastAsia" w:ascii="宋体" w:hAnsi="宋体" w:cs="宋体"/>
          <w:b/>
          <w:bCs/>
          <w:color w:val="auto"/>
          <w:kern w:val="0"/>
          <w:sz w:val="24"/>
          <w:highlight w:val="none"/>
          <w:u w:val="single"/>
        </w:rPr>
        <w:t>①</w:t>
      </w:r>
      <w:r>
        <w:rPr>
          <w:rFonts w:ascii="宋体" w:hAnsi="宋体" w:cs="宋体"/>
          <w:b/>
          <w:bCs/>
          <w:color w:val="auto"/>
          <w:kern w:val="0"/>
          <w:sz w:val="24"/>
          <w:highlight w:val="none"/>
          <w:u w:val="single"/>
        </w:rPr>
        <w:t>、</w:t>
      </w:r>
      <w:r>
        <w:rPr>
          <w:rFonts w:hint="eastAsia" w:ascii="宋体" w:hAnsi="宋体" w:cs="宋体"/>
          <w:b/>
          <w:bCs/>
          <w:color w:val="auto"/>
          <w:kern w:val="0"/>
          <w:sz w:val="24"/>
          <w:highlight w:val="none"/>
          <w:u w:val="single"/>
        </w:rPr>
        <w:t>②</w:t>
      </w:r>
      <w:r>
        <w:rPr>
          <w:rFonts w:ascii="宋体" w:hAnsi="宋体" w:cs="宋体"/>
          <w:b/>
          <w:bCs/>
          <w:color w:val="auto"/>
          <w:kern w:val="0"/>
          <w:sz w:val="24"/>
          <w:highlight w:val="none"/>
          <w:u w:val="single"/>
        </w:rPr>
        <w:t>规定处理。</w:t>
      </w:r>
    </w:p>
    <w:p>
      <w:pPr>
        <w:widowControl/>
        <w:spacing w:line="440" w:lineRule="exact"/>
        <w:ind w:firstLine="480"/>
        <w:jc w:val="left"/>
        <w:rPr>
          <w:rFonts w:ascii="宋体" w:hAnsi="宋体" w:cs="宋体"/>
          <w:color w:val="auto"/>
          <w:kern w:val="0"/>
          <w:sz w:val="24"/>
          <w:highlight w:val="none"/>
        </w:rPr>
      </w:pPr>
      <w:r>
        <w:rPr>
          <w:rFonts w:ascii="宋体" w:hAnsi="宋体" w:cs="宋体"/>
          <w:color w:val="auto"/>
          <w:kern w:val="0"/>
          <w:sz w:val="24"/>
          <w:highlight w:val="none"/>
        </w:rPr>
        <w:t>（3）漏（缺）项</w:t>
      </w:r>
    </w:p>
    <w:p>
      <w:pPr>
        <w:widowControl/>
        <w:spacing w:line="440" w:lineRule="exact"/>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①</w:t>
      </w:r>
      <w:r>
        <w:rPr>
          <w:rFonts w:ascii="宋体" w:hAnsi="宋体" w:cs="宋体"/>
          <w:color w:val="auto"/>
          <w:kern w:val="0"/>
          <w:sz w:val="24"/>
          <w:highlight w:val="none"/>
        </w:rPr>
        <w:t>招标文件中要求列入报价的费用（含配置、功能），漏（缺）项的报价视为已经包括在投标总价中。</w:t>
      </w:r>
    </w:p>
    <w:p>
      <w:pPr>
        <w:widowControl/>
        <w:spacing w:line="440" w:lineRule="exact"/>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②</w:t>
      </w:r>
      <w:r>
        <w:rPr>
          <w:rFonts w:ascii="宋体" w:hAnsi="宋体" w:cs="宋体"/>
          <w:color w:val="auto"/>
          <w:kern w:val="0"/>
          <w:sz w:val="24"/>
          <w:highlight w:val="none"/>
        </w:rPr>
        <w:t>对多报项及赠送项的价格评标时不予核减，全部进入评标价评议。</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6.5推荐中标候选人：详见本章第7.2条规定。</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6.6编写评标报告</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（1）评标报告由评标委员会负责编写。</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（2）评标报告应包括下列内容：</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①招标公告刊登的</w:t>
      </w:r>
      <w:r>
        <w:rPr>
          <w:rFonts w:ascii="宋体" w:hAnsi="宋体" w:eastAsia="宋体" w:cs="宋体"/>
          <w:color w:val="auto"/>
          <w:kern w:val="0"/>
          <w:sz w:val="24"/>
          <w:szCs w:val="24"/>
          <w:highlight w:val="none"/>
        </w:rPr>
        <w:t>媒体名称</w:t>
      </w:r>
      <w:r>
        <w:rPr>
          <w:rFonts w:hint="eastAsia" w:asciiTheme="majorEastAsia" w:hAnsiTheme="majorEastAsia" w:eastAsiaTheme="majorEastAsia" w:cstheme="majorEastAsia"/>
          <w:color w:val="auto"/>
          <w:kern w:val="0"/>
          <w:sz w:val="24"/>
          <w:highlight w:val="none"/>
        </w:rPr>
        <w:t>、开标日期和地点；</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②投标人名单和评标委员会成员名单；</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③评标方法和标准；</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④开标记录和评标情况及说明，包括无效投标人名单及原因；</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⑤评标结果，包括中标候选人名单或确定的中标人；</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⑥其他需要说明的情况，包括但不限于：评标过程中投标人的澄清、说明或补正，评委更换等。</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Fonts w:hint="eastAsia" w:asciiTheme="majorEastAsia" w:hAnsiTheme="majorEastAsia" w:eastAsiaTheme="majorEastAsia" w:cstheme="majorEastAsia"/>
          <w:b/>
          <w:bCs/>
          <w:color w:val="auto"/>
          <w:kern w:val="0"/>
          <w:sz w:val="24"/>
          <w:highlight w:val="none"/>
        </w:rPr>
        <w:t>投标无效</w:t>
      </w:r>
      <w:r>
        <w:rPr>
          <w:rFonts w:hint="eastAsia" w:asciiTheme="majorEastAsia" w:hAnsiTheme="majorEastAsia" w:eastAsiaTheme="majorEastAsia" w:cstheme="majorEastAsia"/>
          <w:color w:val="auto"/>
          <w:kern w:val="0"/>
          <w:sz w:val="24"/>
          <w:highlight w:val="none"/>
        </w:rPr>
        <w:t>处理。</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6.8评委对需要共同认定的事项存在争议的，应按照少数服从多数的原则进行认定。</w:t>
      </w:r>
      <w:r>
        <w:rPr>
          <w:rFonts w:hint="eastAsia" w:asciiTheme="majorEastAsia" w:hAnsiTheme="majorEastAsia" w:eastAsiaTheme="majorEastAsia" w:cstheme="majorEastAsia"/>
          <w:b/>
          <w:bCs/>
          <w:color w:val="auto"/>
          <w:kern w:val="0"/>
          <w:sz w:val="24"/>
          <w:highlight w:val="none"/>
        </w:rPr>
        <w:t>持不同意见的评委应在评标报告上签署不同意见及理由，否则视为同意评标报告。</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6.9在评标过程中发现投标人有下列情形之一的，评标委员会应认定其</w:t>
      </w:r>
      <w:r>
        <w:rPr>
          <w:rFonts w:hint="eastAsia" w:asciiTheme="majorEastAsia" w:hAnsiTheme="majorEastAsia" w:eastAsiaTheme="majorEastAsia" w:cstheme="majorEastAsia"/>
          <w:b/>
          <w:bCs/>
          <w:color w:val="auto"/>
          <w:kern w:val="0"/>
          <w:sz w:val="24"/>
          <w:highlight w:val="none"/>
        </w:rPr>
        <w:t>投标无效</w:t>
      </w:r>
      <w:r>
        <w:rPr>
          <w:rFonts w:hint="eastAsia" w:asciiTheme="majorEastAsia" w:hAnsiTheme="majorEastAsia" w:eastAsiaTheme="majorEastAsia" w:cstheme="majorEastAsia"/>
          <w:color w:val="auto"/>
          <w:kern w:val="0"/>
          <w:sz w:val="24"/>
          <w:highlight w:val="none"/>
        </w:rPr>
        <w:t>，并书面报告本项目监督管理部门：</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（1）恶意串通（包括但不限于招标文件第三章第9.7条规定情形）；</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（2）妨碍其他投标人的竞争行为；</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（3）损害采购人或其他投标人的合法权益。</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6.10评标过程中，有下列情形之一的，应予废标：</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（1）符合性审查合格的投标人不足三家的；</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（2）有关法律、法规和规章规定废标的情形。</w:t>
      </w:r>
    </w:p>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bCs/>
          <w:color w:val="auto"/>
          <w:kern w:val="0"/>
          <w:sz w:val="24"/>
          <w:highlight w:val="none"/>
        </w:rPr>
        <w:t>※若废标，则本次采购活动结束，</w:t>
      </w:r>
      <w:r>
        <w:rPr>
          <w:rFonts w:hint="eastAsia" w:asciiTheme="majorEastAsia" w:hAnsiTheme="majorEastAsia" w:eastAsiaTheme="majorEastAsia" w:cstheme="majorEastAsia"/>
          <w:color w:val="auto"/>
          <w:kern w:val="0"/>
          <w:sz w:val="24"/>
          <w:highlight w:val="none"/>
        </w:rPr>
        <w:t>莆田市信成造价咨询有限公司</w:t>
      </w:r>
      <w:r>
        <w:rPr>
          <w:rFonts w:hint="eastAsia" w:asciiTheme="majorEastAsia" w:hAnsiTheme="majorEastAsia" w:eastAsiaTheme="majorEastAsia" w:cstheme="majorEastAsia"/>
          <w:b/>
          <w:bCs/>
          <w:color w:val="auto"/>
          <w:kern w:val="0"/>
          <w:sz w:val="24"/>
          <w:highlight w:val="none"/>
        </w:rPr>
        <w:t>将依法组织后续采购活动（包括但不限于：重新招标、采用其他方式采购等）。</w:t>
      </w:r>
    </w:p>
    <w:p>
      <w:pPr>
        <w:widowControl/>
        <w:spacing w:before="75" w:after="75"/>
        <w:jc w:val="left"/>
        <w:rPr>
          <w:rFonts w:asciiTheme="majorEastAsia" w:hAnsiTheme="majorEastAsia" w:eastAsiaTheme="majorEastAsia" w:cstheme="majorEastAsia"/>
          <w:b/>
          <w:color w:val="auto"/>
          <w:kern w:val="0"/>
          <w:sz w:val="24"/>
          <w:highlight w:val="none"/>
        </w:rPr>
      </w:pPr>
      <w:r>
        <w:rPr>
          <w:rFonts w:hint="eastAsia" w:asciiTheme="majorEastAsia" w:hAnsiTheme="majorEastAsia" w:eastAsiaTheme="majorEastAsia" w:cstheme="majorEastAsia"/>
          <w:b/>
          <w:color w:val="auto"/>
          <w:kern w:val="0"/>
          <w:sz w:val="24"/>
          <w:highlight w:val="none"/>
        </w:rPr>
        <w:t>7、评标方法和标准</w:t>
      </w:r>
    </w:p>
    <w:p>
      <w:pPr>
        <w:pStyle w:val="18"/>
        <w:widowControl/>
        <w:rPr>
          <w:rFonts w:asciiTheme="majorEastAsia" w:hAnsiTheme="majorEastAsia" w:eastAsiaTheme="majorEastAsia" w:cstheme="majorEastAsia"/>
          <w:color w:val="auto"/>
          <w:kern w:val="0"/>
          <w:highlight w:val="none"/>
        </w:rPr>
      </w:pPr>
      <w:r>
        <w:rPr>
          <w:rFonts w:hint="eastAsia" w:asciiTheme="majorEastAsia" w:hAnsiTheme="majorEastAsia" w:eastAsiaTheme="majorEastAsia" w:cstheme="majorEastAsia"/>
          <w:color w:val="auto"/>
          <w:kern w:val="0"/>
          <w:highlight w:val="none"/>
        </w:rPr>
        <w:t xml:space="preserve">7.1评标方法： </w:t>
      </w:r>
    </w:p>
    <w:p>
      <w:pPr>
        <w:pStyle w:val="18"/>
        <w:widowControl/>
        <w:shd w:val="clear" w:color="auto" w:fill="FFFFFF"/>
        <w:spacing w:after="150"/>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shd w:val="clear" w:color="auto" w:fill="FFFFFF"/>
        </w:rPr>
        <w:t xml:space="preserve">合同包1  </w:t>
      </w:r>
      <w:r>
        <w:rPr>
          <w:rStyle w:val="25"/>
          <w:rFonts w:hint="eastAsia" w:ascii="宋体" w:hAnsi="宋体" w:cs="宋体"/>
          <w:color w:val="auto"/>
          <w:highlight w:val="none"/>
          <w:shd w:val="clear" w:color="auto" w:fill="FFFFFF"/>
        </w:rPr>
        <w:t>采用最低评标价法</w:t>
      </w:r>
      <w:r>
        <w:rPr>
          <w:rFonts w:hint="eastAsia" w:asciiTheme="majorEastAsia" w:hAnsiTheme="majorEastAsia" w:eastAsiaTheme="majorEastAsia" w:cstheme="majorEastAsia"/>
          <w:color w:val="auto"/>
          <w:highlight w:val="none"/>
          <w:shd w:val="clear" w:color="auto" w:fill="FFFFFF"/>
        </w:rPr>
        <w:t xml:space="preserve">： </w:t>
      </w:r>
    </w:p>
    <w:p>
      <w:pPr>
        <w:pStyle w:val="18"/>
        <w:widowControl/>
        <w:ind w:firstLine="480"/>
        <w:rPr>
          <w:rFonts w:hint="eastAsia" w:ascii="宋体" w:hAnsi="宋体" w:cs="宋体"/>
          <w:color w:val="auto"/>
          <w:highlight w:val="none"/>
        </w:rPr>
      </w:pPr>
      <w:r>
        <w:rPr>
          <w:rFonts w:hint="eastAsia" w:ascii="宋体" w:hAnsi="宋体" w:cs="宋体"/>
          <w:color w:val="auto"/>
          <w:highlight w:val="none"/>
        </w:rPr>
        <w:t>（1）投标文件满足招标文件全部实质性要求，且投标报价最低的投标人为中标候选人。报价相同的，由采购人或者采购人委托评标委员会按照招标文件规定的方式确定一个参加评标的投标人，招标文件未规定的采取随机抽取方式确定，其他投标无效。</w:t>
      </w:r>
    </w:p>
    <w:p>
      <w:pPr>
        <w:pStyle w:val="18"/>
        <w:widowControl/>
        <w:ind w:firstLine="480"/>
        <w:rPr>
          <w:color w:val="auto"/>
          <w:highlight w:val="none"/>
        </w:rPr>
      </w:pPr>
      <w:r>
        <w:rPr>
          <w:rFonts w:hint="eastAsia" w:ascii="宋体" w:hAnsi="宋体" w:cs="宋体"/>
          <w:color w:val="auto"/>
          <w:highlight w:val="none"/>
        </w:rPr>
        <w:t>（2）价格扣除的规则如下：</w:t>
      </w:r>
    </w:p>
    <w:p>
      <w:pPr>
        <w:pStyle w:val="18"/>
        <w:widowControl/>
        <w:ind w:firstLine="480"/>
        <w:rPr>
          <w:color w:val="auto"/>
          <w:highlight w:val="none"/>
        </w:rPr>
      </w:pPr>
      <w:r>
        <w:rPr>
          <w:rFonts w:hint="eastAsia" w:ascii="宋体" w:hAnsi="宋体" w:cs="宋体"/>
          <w:color w:val="auto"/>
          <w:highlight w:val="none"/>
        </w:rPr>
        <w:t>a.优先类节能产品、环境标志产品：</w:t>
      </w:r>
    </w:p>
    <w:p>
      <w:pPr>
        <w:pStyle w:val="18"/>
        <w:widowControl/>
        <w:ind w:firstLine="480"/>
        <w:rPr>
          <w:color w:val="auto"/>
          <w:highlight w:val="none"/>
        </w:rPr>
      </w:pPr>
      <w:r>
        <w:rPr>
          <w:rFonts w:hint="eastAsia" w:ascii="宋体" w:hAnsi="宋体" w:cs="宋体"/>
          <w:color w:val="auto"/>
          <w:highlight w:val="none"/>
        </w:rPr>
        <w:t>a1若同一合同包内节能、环境标志产品报价总金额低于该合同包报价总金额</w:t>
      </w:r>
      <w:r>
        <w:rPr>
          <w:rFonts w:ascii="Calibri" w:hAnsi="Calibri" w:cs="Calibri"/>
          <w:color w:val="auto"/>
          <w:highlight w:val="none"/>
        </w:rPr>
        <w:t>10%</w:t>
      </w:r>
      <w:r>
        <w:rPr>
          <w:rFonts w:hint="eastAsia" w:ascii="宋体" w:hAnsi="宋体" w:cs="宋体"/>
          <w:color w:val="auto"/>
          <w:highlight w:val="none"/>
        </w:rPr>
        <w:t>（含</w:t>
      </w:r>
      <w:r>
        <w:rPr>
          <w:rFonts w:ascii="Calibri" w:hAnsi="Calibri" w:cs="Calibri"/>
          <w:color w:val="auto"/>
          <w:highlight w:val="none"/>
        </w:rPr>
        <w:t>10%</w:t>
      </w:r>
      <w:r>
        <w:rPr>
          <w:rFonts w:hint="eastAsia" w:ascii="宋体" w:hAnsi="宋体" w:cs="宋体"/>
          <w:color w:val="auto"/>
          <w:highlight w:val="none"/>
        </w:rPr>
        <w:t>）以下，将给予节能、环境标志产品每个单项报价</w:t>
      </w:r>
      <w:r>
        <w:rPr>
          <w:rFonts w:ascii="Calibri" w:hAnsi="Calibri" w:cs="Calibri"/>
          <w:color w:val="auto"/>
          <w:highlight w:val="none"/>
        </w:rPr>
        <w:t>3%</w:t>
      </w:r>
      <w:r>
        <w:rPr>
          <w:rFonts w:hint="eastAsia" w:ascii="宋体" w:hAnsi="宋体" w:cs="宋体"/>
          <w:color w:val="auto"/>
          <w:highlight w:val="none"/>
        </w:rPr>
        <w:t>的价格扣除；若同一合同包内节能、环境标志产品报价总金额占该合同包报价总金额</w:t>
      </w:r>
      <w:r>
        <w:rPr>
          <w:rFonts w:ascii="Calibri" w:hAnsi="Calibri" w:cs="Calibri"/>
          <w:color w:val="auto"/>
          <w:highlight w:val="none"/>
        </w:rPr>
        <w:t>10%-30%</w:t>
      </w:r>
      <w:r>
        <w:rPr>
          <w:rFonts w:hint="eastAsia" w:ascii="宋体" w:hAnsi="宋体" w:cs="宋体"/>
          <w:color w:val="auto"/>
          <w:highlight w:val="none"/>
        </w:rPr>
        <w:t>（含</w:t>
      </w:r>
      <w:r>
        <w:rPr>
          <w:rFonts w:ascii="Calibri" w:hAnsi="Calibri" w:cs="Calibri"/>
          <w:color w:val="auto"/>
          <w:highlight w:val="none"/>
        </w:rPr>
        <w:t>30%</w:t>
      </w:r>
      <w:r>
        <w:rPr>
          <w:rFonts w:hint="eastAsia" w:ascii="宋体" w:hAnsi="宋体" w:cs="宋体"/>
          <w:color w:val="auto"/>
          <w:highlight w:val="none"/>
        </w:rPr>
        <w:t>），将给予节能、环境标志产品每个单项报价</w:t>
      </w:r>
      <w:r>
        <w:rPr>
          <w:rFonts w:ascii="Calibri" w:hAnsi="Calibri" w:cs="Calibri"/>
          <w:color w:val="auto"/>
          <w:highlight w:val="none"/>
        </w:rPr>
        <w:t>6%</w:t>
      </w:r>
      <w:r>
        <w:rPr>
          <w:rFonts w:hint="eastAsia" w:ascii="宋体" w:hAnsi="宋体" w:cs="宋体"/>
          <w:color w:val="auto"/>
          <w:highlight w:val="none"/>
        </w:rPr>
        <w:t>的价格扣除；若同一合同包内节能、环境标志产品报价总金额占该合同包报价总金额</w:t>
      </w:r>
      <w:r>
        <w:rPr>
          <w:rFonts w:ascii="Calibri" w:hAnsi="Calibri" w:cs="Calibri"/>
          <w:color w:val="auto"/>
          <w:highlight w:val="none"/>
        </w:rPr>
        <w:t>30%-50%</w:t>
      </w:r>
      <w:r>
        <w:rPr>
          <w:rFonts w:hint="eastAsia" w:ascii="宋体" w:hAnsi="宋体" w:cs="宋体"/>
          <w:color w:val="auto"/>
          <w:highlight w:val="none"/>
        </w:rPr>
        <w:t>（含</w:t>
      </w:r>
      <w:r>
        <w:rPr>
          <w:rFonts w:ascii="Calibri" w:hAnsi="Calibri" w:cs="Calibri"/>
          <w:color w:val="auto"/>
          <w:highlight w:val="none"/>
        </w:rPr>
        <w:t>50%</w:t>
      </w:r>
      <w:r>
        <w:rPr>
          <w:rFonts w:hint="eastAsia" w:ascii="宋体" w:hAnsi="宋体" w:cs="宋体"/>
          <w:color w:val="auto"/>
          <w:highlight w:val="none"/>
        </w:rPr>
        <w:t>），将给予节能、环境标志产品每个单项报价</w:t>
      </w:r>
      <w:r>
        <w:rPr>
          <w:rFonts w:ascii="Calibri" w:hAnsi="Calibri" w:cs="Calibri"/>
          <w:color w:val="auto"/>
          <w:highlight w:val="none"/>
        </w:rPr>
        <w:t>8%</w:t>
      </w:r>
      <w:r>
        <w:rPr>
          <w:rFonts w:hint="eastAsia" w:ascii="宋体" w:hAnsi="宋体" w:cs="宋体"/>
          <w:color w:val="auto"/>
          <w:highlight w:val="none"/>
        </w:rPr>
        <w:t>的价格扣除；若同一合同包内节能、环境标志产品报价总金额超过该合同包报价总金额</w:t>
      </w:r>
      <w:r>
        <w:rPr>
          <w:rFonts w:ascii="Calibri" w:hAnsi="Calibri" w:cs="Calibri"/>
          <w:color w:val="auto"/>
          <w:highlight w:val="none"/>
        </w:rPr>
        <w:t>50%</w:t>
      </w:r>
      <w:r>
        <w:rPr>
          <w:rFonts w:hint="eastAsia" w:ascii="宋体" w:hAnsi="宋体" w:cs="宋体"/>
          <w:color w:val="auto"/>
          <w:highlight w:val="none"/>
        </w:rPr>
        <w:t>以上，将给予节能、环境标志产品每个单项报价</w:t>
      </w:r>
      <w:r>
        <w:rPr>
          <w:rFonts w:ascii="Calibri" w:hAnsi="Calibri" w:cs="Calibri"/>
          <w:color w:val="auto"/>
          <w:highlight w:val="none"/>
        </w:rPr>
        <w:t>10%</w:t>
      </w:r>
      <w:r>
        <w:rPr>
          <w:rFonts w:hint="eastAsia" w:ascii="宋体" w:hAnsi="宋体" w:cs="宋体"/>
          <w:color w:val="auto"/>
          <w:highlight w:val="none"/>
        </w:rPr>
        <w:t>的价格扣除。</w:t>
      </w:r>
      <w:r>
        <w:rPr>
          <w:color w:val="auto"/>
          <w:highlight w:val="none"/>
        </w:rPr>
        <w:t xml:space="preserve"> </w:t>
      </w:r>
    </w:p>
    <w:p>
      <w:pPr>
        <w:pStyle w:val="18"/>
        <w:widowControl/>
        <w:ind w:firstLine="480"/>
        <w:rPr>
          <w:color w:val="auto"/>
          <w:highlight w:val="none"/>
        </w:rPr>
      </w:pPr>
      <w:r>
        <w:rPr>
          <w:rFonts w:hint="eastAsia" w:ascii="宋体" w:hAnsi="宋体" w:cs="宋体"/>
          <w:color w:val="auto"/>
          <w:highlight w:val="none"/>
        </w:rPr>
        <w:t>a2若节能、环境标志产品仅是构成投标产品的部件、组件或零件，则该投标产品不享受鼓励优惠政策。同一品目中各认证证书不重复计算价格扣除。强制类节能产品不享受价格扣除。</w:t>
      </w:r>
      <w:r>
        <w:rPr>
          <w:color w:val="auto"/>
          <w:highlight w:val="none"/>
        </w:rPr>
        <w:t xml:space="preserve"> </w:t>
      </w:r>
    </w:p>
    <w:p>
      <w:pPr>
        <w:pStyle w:val="18"/>
        <w:widowControl/>
        <w:ind w:firstLine="480"/>
        <w:rPr>
          <w:color w:val="auto"/>
          <w:highlight w:val="none"/>
        </w:rPr>
      </w:pPr>
      <w:r>
        <w:rPr>
          <w:rFonts w:hint="eastAsia" w:ascii="宋体" w:hAnsi="宋体" w:cs="宋体"/>
          <w:color w:val="auto"/>
          <w:highlight w:val="none"/>
        </w:rPr>
        <w:t>b.小型、微型企业产品等：</w:t>
      </w:r>
    </w:p>
    <w:tbl>
      <w:tblPr>
        <w:tblStyle w:val="21"/>
        <w:tblW w:w="0" w:type="auto"/>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62"/>
        <w:gridCol w:w="7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1800" w:type="dxa"/>
            <w:shd w:val="clear" w:color="auto" w:fill="auto"/>
            <w:vAlign w:val="center"/>
          </w:tcPr>
          <w:p>
            <w:pPr>
              <w:widowControl/>
              <w:jc w:val="left"/>
              <w:rPr>
                <w:color w:val="auto"/>
                <w:highlight w:val="none"/>
              </w:rPr>
            </w:pPr>
            <w:r>
              <w:rPr>
                <w:rFonts w:ascii="宋体" w:hAnsi="宋体" w:cs="宋体"/>
                <w:color w:val="auto"/>
                <w:kern w:val="0"/>
                <w:sz w:val="24"/>
                <w:highlight w:val="none"/>
                <w:lang w:bidi="ar"/>
              </w:rPr>
              <w:t>评标项目</w:t>
            </w:r>
          </w:p>
        </w:tc>
        <w:tc>
          <w:tcPr>
            <w:tcW w:w="10500" w:type="dxa"/>
            <w:shd w:val="clear" w:color="auto" w:fill="auto"/>
            <w:vAlign w:val="center"/>
          </w:tcPr>
          <w:p>
            <w:pPr>
              <w:widowControl/>
              <w:jc w:val="left"/>
              <w:rPr>
                <w:color w:val="auto"/>
                <w:highlight w:val="none"/>
              </w:rPr>
            </w:pPr>
            <w:r>
              <w:rPr>
                <w:rFonts w:ascii="宋体" w:hAnsi="宋体" w:cs="宋体"/>
                <w:color w:val="auto"/>
                <w:kern w:val="0"/>
                <w:sz w:val="24"/>
                <w:highlight w:val="none"/>
                <w:lang w:bidi="ar"/>
              </w:rPr>
              <w:t>评标方法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144"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小型、微型企业，监狱企业，残疾人</w:t>
            </w:r>
          </w:p>
        </w:tc>
        <w:tc>
          <w:tcPr>
            <w:tcW w:w="7177" w:type="dxa"/>
            <w:shd w:val="clear" w:color="auto" w:fill="auto"/>
            <w:vAlign w:val="center"/>
          </w:tcPr>
          <w:p>
            <w:pPr>
              <w:keepNext w:val="0"/>
              <w:keepLines w:val="0"/>
              <w:widowControl/>
              <w:suppressLineNumbers w:val="0"/>
              <w:jc w:val="left"/>
              <w:rPr>
                <w:color w:val="auto"/>
                <w:highlight w:val="none"/>
              </w:rPr>
            </w:pPr>
            <w:r>
              <w:rPr>
                <w:rStyle w:val="25"/>
                <w:rFonts w:ascii="宋体" w:hAnsi="宋体" w:eastAsia="宋体" w:cs="宋体"/>
                <w:color w:val="auto"/>
                <w:kern w:val="0"/>
                <w:sz w:val="24"/>
                <w:szCs w:val="24"/>
                <w:highlight w:val="none"/>
                <w:lang w:val="en-US" w:eastAsia="zh-CN" w:bidi="ar"/>
              </w:rPr>
              <w:t>本项目为非专门面向中小企业采购项目。1、评审时，对符合《政府采购促进中小企业发展管理办法》（财库﹝2020﹞46号）规定的小微企业报价给予价格扣除（货物和服务项目为6%；工程项目为3%），用扣除后的价格参加评审。投标人须提供合格的《中小企业声明函》（格式详见招标文件第七章），否则不予价格扣除。若同一合同包内的小型、微型企业产品仅是构成报价产品的部件、组件或零件的，则该报价产品不给予价格扣除。 2、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6%（工程项目为3%）的价格扣除，但必须提供由省级以上监狱管理局、戒毒管理局（含新疆生产建设兵团）出具的属于监狱企业的证明文件，否则评审时不予价格扣除优惠。 3、根据财政部、民政部、中国残疾人联合会联合发布的《关于促进残疾人就业政府采购政策的通知》（财库[2017]141号）文件以及福建省财政厅、福建省民政厅、福建省残疾人联合会发布的《关于进一步落实政府采购支持残疾人就业政策的通知》文件规定，在政府采购活动中，残疾人福利性单位视同小型、微型企业，符合条件的残疾人福利性单位在参加政府采购活动时，对残疾人福利性单位产品按规定价格给予10%（工程项目为3%）扣除，须提供《残疾人福利性单位声明函》（格式详见招标文件第七章）并对声明的真实性负责。残疾人福利性单位属于小型、微型企业的，不重复享受政策。残疾人福利性单位享受价格扣除的货物是指只由本单位制造的货物，或者只由其他残疾人福利性单位制造的货物。对于残疾人福利性单位参与货物项目的，必须要求残疾人福利性单位标明具体哪些货物是其本单位制造的货物，或者是由其他残疾人福利性单位制造的货物（不包括使用非残疾人福利性单位注册商标的货物），仅有标明部分的货物才能启动价格扣除。残疾人福利性单位应当依法依规参与政府采购活动，认真审阅招标文件，诚实响应，在投标文件中写明具体哪些货物是由本单位制造，或者由其他残疾人福利性单位制造（不包括使用非残疾人福利性单位注册商标的货物），并对其进行标注。4、具体详见招标文件第三章、第七章规定，上述规定与政府采购相关法律、法规、制度等有冲突的，以现行法律、法规、制度等执行。注：享受扶持政策获得政府采购合同的，小微企业不得将合同分包给大中型企业，中型企业不得将合同分包给大型企业。5、本合同包为</w:t>
            </w:r>
            <w:r>
              <w:rPr>
                <w:rStyle w:val="25"/>
                <w:rFonts w:hint="eastAsia" w:ascii="宋体" w:hAnsi="宋体" w:cs="宋体"/>
                <w:color w:val="auto"/>
                <w:kern w:val="0"/>
                <w:sz w:val="24"/>
                <w:szCs w:val="24"/>
                <w:highlight w:val="none"/>
                <w:lang w:val="en-US" w:eastAsia="zh-CN" w:bidi="ar"/>
              </w:rPr>
              <w:t>货物</w:t>
            </w:r>
            <w:r>
              <w:rPr>
                <w:rStyle w:val="25"/>
                <w:rFonts w:ascii="宋体" w:hAnsi="宋体" w:eastAsia="宋体" w:cs="宋体"/>
                <w:color w:val="auto"/>
                <w:kern w:val="0"/>
                <w:sz w:val="24"/>
                <w:szCs w:val="24"/>
                <w:highlight w:val="none"/>
                <w:lang w:val="en-US" w:eastAsia="zh-CN" w:bidi="ar"/>
              </w:rPr>
              <w:t>类采购项目，采购标的对应的中小企业划分标准所属行业为“</w:t>
            </w:r>
            <w:r>
              <w:rPr>
                <w:rStyle w:val="25"/>
                <w:rFonts w:hint="eastAsia" w:ascii="宋体" w:hAnsi="宋体" w:cs="宋体"/>
                <w:color w:val="auto"/>
                <w:kern w:val="0"/>
                <w:sz w:val="24"/>
                <w:szCs w:val="24"/>
                <w:highlight w:val="none"/>
                <w:lang w:val="en-US" w:eastAsia="zh-CN" w:bidi="ar"/>
              </w:rPr>
              <w:t>工</w:t>
            </w:r>
            <w:r>
              <w:rPr>
                <w:rStyle w:val="25"/>
                <w:rFonts w:ascii="宋体" w:hAnsi="宋体" w:eastAsia="宋体" w:cs="宋体"/>
                <w:color w:val="auto"/>
                <w:kern w:val="0"/>
                <w:sz w:val="24"/>
                <w:szCs w:val="24"/>
                <w:highlight w:val="none"/>
                <w:lang w:val="en-US" w:eastAsia="zh-CN" w:bidi="ar"/>
              </w:rPr>
              <w:t>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rPr>
                <w:color w:val="auto"/>
                <w:highlight w:val="none"/>
              </w:rPr>
            </w:pPr>
            <w:r>
              <w:rPr>
                <w:rFonts w:ascii="宋体" w:hAnsi="宋体" w:cs="宋体"/>
                <w:color w:val="auto"/>
                <w:kern w:val="0"/>
                <w:sz w:val="24"/>
                <w:highlight w:val="none"/>
                <w:lang w:bidi="ar"/>
              </w:rPr>
              <w:t>节能产品</w:t>
            </w:r>
          </w:p>
        </w:tc>
        <w:tc>
          <w:tcPr>
            <w:tcW w:w="0" w:type="auto"/>
            <w:shd w:val="clear" w:color="auto" w:fill="auto"/>
            <w:vAlign w:val="center"/>
          </w:tcPr>
          <w:p>
            <w:pPr>
              <w:widowControl/>
              <w:jc w:val="left"/>
              <w:rPr>
                <w:color w:val="auto"/>
                <w:highlight w:val="none"/>
              </w:rPr>
            </w:pPr>
            <w:r>
              <w:rPr>
                <w:rStyle w:val="25"/>
                <w:rFonts w:ascii="宋体" w:hAnsi="宋体" w:cs="宋体"/>
                <w:color w:val="auto"/>
                <w:kern w:val="0"/>
                <w:sz w:val="24"/>
                <w:highlight w:val="none"/>
                <w:lang w:bidi="ar"/>
              </w:rPr>
              <w:t>若同一合同包内节能、环境标志产品报价总金额低于本合同包报价总金额10%（含10%）以下，将给予节能、环境标志产品每个单项报价3%的价格扣除；若同一合同包内节能、环境标志产品报价总金额占本合同包报价总金额10%-30%（含30%），将给予节能、环境标志产品每个单项报价6%的价格扣除；若同一合同包内节能、环境标志产品报价总金额占本合同包报价总金额30%-50%（含50%），将给予节能、环境标志产品每个单项报价8%的价格扣除；若同一合同包内节能、环境标志产品报价总金额超过本合同包报价总金额50%以上，将给予节能、环境标志产品每个单项报价10%的价格扣除。</w:t>
            </w:r>
          </w:p>
        </w:tc>
      </w:tr>
    </w:tbl>
    <w:p>
      <w:pPr>
        <w:pStyle w:val="18"/>
        <w:widowControl/>
        <w:ind w:firstLine="480"/>
        <w:rPr>
          <w:color w:val="auto"/>
          <w:highlight w:val="none"/>
        </w:rPr>
      </w:pPr>
      <w:r>
        <w:rPr>
          <w:rFonts w:hint="eastAsia" w:ascii="宋体" w:hAnsi="宋体" w:cs="宋体"/>
          <w:color w:val="auto"/>
          <w:highlight w:val="none"/>
        </w:rPr>
        <w:t>c.其他：无。</w:t>
      </w:r>
    </w:p>
    <w:p>
      <w:pPr>
        <w:pStyle w:val="18"/>
        <w:widowControl/>
        <w:ind w:firstLine="480"/>
        <w:rPr>
          <w:color w:val="auto"/>
          <w:highlight w:val="none"/>
        </w:rPr>
      </w:pPr>
      <w:r>
        <w:rPr>
          <w:rStyle w:val="25"/>
          <w:rFonts w:hint="eastAsia" w:ascii="宋体" w:hAnsi="宋体" w:cs="宋体"/>
          <w:color w:val="auto"/>
          <w:highlight w:val="none"/>
        </w:rPr>
        <w:t>※除本章第</w:t>
      </w:r>
      <w:r>
        <w:rPr>
          <w:rStyle w:val="25"/>
          <w:rFonts w:ascii="Calibri" w:hAnsi="Calibri" w:cs="Calibri"/>
          <w:color w:val="auto"/>
          <w:highlight w:val="none"/>
        </w:rPr>
        <w:t>6.3</w:t>
      </w:r>
      <w:r>
        <w:rPr>
          <w:rStyle w:val="25"/>
          <w:rFonts w:hint="eastAsia" w:ascii="宋体" w:hAnsi="宋体" w:cs="宋体"/>
          <w:color w:val="auto"/>
          <w:highlight w:val="none"/>
        </w:rPr>
        <w:t>条第（</w:t>
      </w:r>
      <w:r>
        <w:rPr>
          <w:rStyle w:val="25"/>
          <w:rFonts w:ascii="Calibri" w:hAnsi="Calibri" w:cs="Calibri"/>
          <w:color w:val="auto"/>
          <w:highlight w:val="none"/>
        </w:rPr>
        <w:t>3</w:t>
      </w:r>
      <w:r>
        <w:rPr>
          <w:rStyle w:val="25"/>
          <w:rFonts w:hint="eastAsia" w:ascii="宋体" w:hAnsi="宋体" w:cs="宋体"/>
          <w:color w:val="auto"/>
          <w:highlight w:val="none"/>
        </w:rPr>
        <w:t>）款规定情形和落实政府采购政策需进行的价格扣除情形外，不能对投标人的投标报价进行任何调整。</w:t>
      </w:r>
      <w:r>
        <w:rPr>
          <w:color w:val="auto"/>
          <w:highlight w:val="none"/>
        </w:rPr>
        <w:t xml:space="preserve"> </w:t>
      </w:r>
    </w:p>
    <w:p>
      <w:pPr>
        <w:pStyle w:val="18"/>
        <w:widowControl/>
        <w:ind w:firstLine="480"/>
        <w:rPr>
          <w:color w:val="auto"/>
          <w:highlight w:val="none"/>
        </w:rPr>
      </w:pPr>
      <w:r>
        <w:rPr>
          <w:rFonts w:hint="eastAsia" w:ascii="宋体" w:hAnsi="宋体" w:cs="宋体"/>
          <w:color w:val="auto"/>
          <w:highlight w:val="none"/>
        </w:rPr>
        <w:t>（3）中标候选人排列规则顺序如下：</w:t>
      </w:r>
      <w:r>
        <w:rPr>
          <w:color w:val="auto"/>
          <w:highlight w:val="none"/>
        </w:rPr>
        <w:t xml:space="preserve"> </w:t>
      </w:r>
    </w:p>
    <w:p>
      <w:pPr>
        <w:pStyle w:val="18"/>
        <w:widowControl/>
        <w:ind w:firstLine="480"/>
        <w:rPr>
          <w:color w:val="auto"/>
          <w:highlight w:val="none"/>
        </w:rPr>
      </w:pPr>
      <w:r>
        <w:rPr>
          <w:rFonts w:hint="eastAsia" w:ascii="宋体" w:hAnsi="宋体" w:cs="宋体"/>
          <w:color w:val="auto"/>
          <w:highlight w:val="none"/>
        </w:rPr>
        <w:t>a.按照评标价（即价格扣除后的投标报价）由低到高顺序排列。</w:t>
      </w:r>
    </w:p>
    <w:p>
      <w:pPr>
        <w:pStyle w:val="18"/>
        <w:widowControl/>
        <w:ind w:firstLine="480"/>
        <w:rPr>
          <w:color w:val="auto"/>
          <w:highlight w:val="none"/>
        </w:rPr>
      </w:pPr>
      <w:r>
        <w:rPr>
          <w:rFonts w:hint="eastAsia" w:ascii="宋体" w:hAnsi="宋体" w:cs="宋体"/>
          <w:color w:val="auto"/>
          <w:highlight w:val="none"/>
        </w:rPr>
        <w:t>b.评标价相同的并列。</w:t>
      </w:r>
    </w:p>
    <w:p>
      <w:pPr>
        <w:pStyle w:val="12"/>
        <w:ind w:firstLine="643"/>
        <w:rPr>
          <w:rFonts w:asciiTheme="majorEastAsia" w:hAnsiTheme="majorEastAsia" w:eastAsiaTheme="majorEastAsia" w:cstheme="majorEastAsia"/>
          <w:b/>
          <w:color w:val="auto"/>
          <w:sz w:val="32"/>
          <w:szCs w:val="32"/>
          <w:highlight w:val="none"/>
        </w:rPr>
      </w:pPr>
    </w:p>
    <w:p>
      <w:pPr>
        <w:tabs>
          <w:tab w:val="left" w:pos="3240"/>
          <w:tab w:val="left" w:pos="3600"/>
          <w:tab w:val="left" w:pos="4057"/>
          <w:tab w:val="right" w:pos="9070"/>
        </w:tabs>
        <w:spacing w:after="156" w:afterLines="50" w:line="264" w:lineRule="auto"/>
        <w:jc w:val="center"/>
        <w:rPr>
          <w:rFonts w:hint="eastAsia" w:asciiTheme="majorEastAsia" w:hAnsiTheme="majorEastAsia" w:eastAsiaTheme="majorEastAsia" w:cstheme="majorEastAsia"/>
          <w:b/>
          <w:color w:val="auto"/>
          <w:sz w:val="32"/>
          <w:szCs w:val="32"/>
          <w:highlight w:val="none"/>
        </w:rPr>
      </w:pPr>
    </w:p>
    <w:p>
      <w:pPr>
        <w:tabs>
          <w:tab w:val="left" w:pos="3240"/>
          <w:tab w:val="left" w:pos="3600"/>
          <w:tab w:val="left" w:pos="4057"/>
          <w:tab w:val="right" w:pos="9070"/>
        </w:tabs>
        <w:spacing w:after="156" w:afterLines="50" w:line="264" w:lineRule="auto"/>
        <w:jc w:val="center"/>
        <w:rPr>
          <w:rFonts w:hint="eastAsia" w:asciiTheme="majorEastAsia" w:hAnsiTheme="majorEastAsia" w:eastAsiaTheme="majorEastAsia" w:cstheme="majorEastAsia"/>
          <w:b/>
          <w:color w:val="auto"/>
          <w:sz w:val="32"/>
          <w:szCs w:val="32"/>
          <w:highlight w:val="none"/>
        </w:rPr>
      </w:pPr>
    </w:p>
    <w:p>
      <w:pPr>
        <w:tabs>
          <w:tab w:val="left" w:pos="3240"/>
          <w:tab w:val="left" w:pos="3600"/>
          <w:tab w:val="left" w:pos="4057"/>
          <w:tab w:val="right" w:pos="9070"/>
        </w:tabs>
        <w:spacing w:after="156" w:afterLines="50" w:line="264" w:lineRule="auto"/>
        <w:jc w:val="center"/>
        <w:rPr>
          <w:rFonts w:hint="eastAsia" w:asciiTheme="majorEastAsia" w:hAnsiTheme="majorEastAsia" w:eastAsiaTheme="majorEastAsia" w:cstheme="majorEastAsia"/>
          <w:b/>
          <w:color w:val="auto"/>
          <w:sz w:val="32"/>
          <w:szCs w:val="32"/>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rPr>
      </w:pPr>
    </w:p>
    <w:p>
      <w:pPr>
        <w:rPr>
          <w:rFonts w:hint="eastAsia"/>
          <w:color w:val="auto"/>
          <w:highlight w:val="none"/>
        </w:rPr>
      </w:pPr>
    </w:p>
    <w:p>
      <w:pPr>
        <w:keepNext w:val="0"/>
        <w:keepLines w:val="0"/>
        <w:pageBreakBefore w:val="0"/>
        <w:widowControl w:val="0"/>
        <w:tabs>
          <w:tab w:val="left" w:pos="3240"/>
          <w:tab w:val="left" w:pos="3600"/>
          <w:tab w:val="left" w:pos="4057"/>
          <w:tab w:val="right" w:pos="9070"/>
        </w:tabs>
        <w:kinsoku/>
        <w:wordWrap/>
        <w:overflowPunct/>
        <w:topLinePunct w:val="0"/>
        <w:autoSpaceDE/>
        <w:autoSpaceDN/>
        <w:bidi w:val="0"/>
        <w:adjustRightInd/>
        <w:snapToGrid/>
        <w:spacing w:line="264" w:lineRule="auto"/>
        <w:jc w:val="center"/>
        <w:textAlignment w:val="auto"/>
        <w:rPr>
          <w:rFonts w:asciiTheme="majorEastAsia" w:hAnsiTheme="majorEastAsia" w:eastAsiaTheme="majorEastAsia" w:cstheme="majorEastAsia"/>
          <w:b/>
          <w:color w:val="auto"/>
          <w:sz w:val="32"/>
          <w:szCs w:val="32"/>
          <w:highlight w:val="none"/>
        </w:rPr>
      </w:pPr>
      <w:r>
        <w:rPr>
          <w:rFonts w:hint="eastAsia" w:asciiTheme="majorEastAsia" w:hAnsiTheme="majorEastAsia" w:eastAsiaTheme="majorEastAsia" w:cstheme="majorEastAsia"/>
          <w:b/>
          <w:color w:val="auto"/>
          <w:sz w:val="32"/>
          <w:szCs w:val="32"/>
          <w:highlight w:val="none"/>
        </w:rPr>
        <w:t>第五章  招标内容及要求</w:t>
      </w:r>
    </w:p>
    <w:bookmarkEnd w:id="0"/>
    <w:p>
      <w:pPr>
        <w:pStyle w:val="18"/>
        <w:keepNext w:val="0"/>
        <w:keepLines w:val="0"/>
        <w:pageBreakBefore w:val="0"/>
        <w:widowControl/>
        <w:kinsoku/>
        <w:wordWrap/>
        <w:overflowPunct/>
        <w:topLinePunct w:val="0"/>
        <w:bidi w:val="0"/>
        <w:spacing w:line="390" w:lineRule="exact"/>
        <w:textAlignment w:val="auto"/>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一、项目概况（采购标的）</w:t>
      </w:r>
    </w:p>
    <w:p>
      <w:pPr>
        <w:keepNext w:val="0"/>
        <w:keepLines w:val="0"/>
        <w:pageBreakBefore w:val="0"/>
        <w:widowControl w:val="0"/>
        <w:kinsoku/>
        <w:wordWrap/>
        <w:overflowPunct/>
        <w:topLinePunct w:val="0"/>
        <w:autoSpaceDE/>
        <w:autoSpaceDN/>
        <w:bidi w:val="0"/>
        <w:adjustRightInd/>
        <w:snapToGrid/>
        <w:spacing w:line="390" w:lineRule="exact"/>
        <w:ind w:firstLine="482"/>
        <w:textAlignment w:val="auto"/>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本项目采购标的为</w:t>
      </w:r>
      <w:r>
        <w:rPr>
          <w:rFonts w:hint="eastAsia" w:asciiTheme="majorEastAsia" w:hAnsiTheme="majorEastAsia" w:eastAsiaTheme="majorEastAsia" w:cstheme="majorEastAsia"/>
          <w:b/>
          <w:bCs/>
          <w:color w:val="auto"/>
          <w:sz w:val="24"/>
          <w:szCs w:val="24"/>
          <w:highlight w:val="none"/>
          <w:lang w:val="en-US" w:eastAsia="zh-CN"/>
        </w:rPr>
        <w:t>2000口</w:t>
      </w:r>
      <w:r>
        <w:rPr>
          <w:rFonts w:hint="eastAsia" w:asciiTheme="majorEastAsia" w:hAnsiTheme="majorEastAsia" w:eastAsiaTheme="majorEastAsia" w:cstheme="majorEastAsia"/>
          <w:b/>
          <w:bCs/>
          <w:color w:val="auto"/>
          <w:sz w:val="24"/>
          <w:szCs w:val="24"/>
          <w:highlight w:val="none"/>
        </w:rPr>
        <w:t>全塑胶养殖渔排</w:t>
      </w:r>
      <w:r>
        <w:rPr>
          <w:rFonts w:hint="eastAsia" w:asciiTheme="majorEastAsia" w:hAnsiTheme="majorEastAsia" w:eastAsiaTheme="majorEastAsia" w:cstheme="majorEastAsia"/>
          <w:color w:val="auto"/>
          <w:sz w:val="24"/>
          <w:szCs w:val="24"/>
          <w:highlight w:val="none"/>
        </w:rPr>
        <w:t>（规格为单口4m*4m</w:t>
      </w:r>
      <w:r>
        <w:rPr>
          <w:rFonts w:hint="eastAsia" w:asciiTheme="majorEastAsia" w:hAnsiTheme="majorEastAsia" w:eastAsiaTheme="majorEastAsia" w:cstheme="majorEastAsia"/>
          <w:color w:val="auto"/>
          <w:sz w:val="24"/>
          <w:szCs w:val="24"/>
          <w:highlight w:val="none"/>
          <w:lang w:eastAsia="zh-CN"/>
        </w:rPr>
        <w:t>，以渔排框架外沿边长计算</w:t>
      </w:r>
      <w:r>
        <w:rPr>
          <w:rFonts w:hint="eastAsia" w:asciiTheme="majorEastAsia" w:hAnsiTheme="majorEastAsia" w:eastAsiaTheme="majorEastAsia" w:cstheme="majorEastAsia"/>
          <w:color w:val="auto"/>
          <w:sz w:val="24"/>
          <w:szCs w:val="24"/>
          <w:highlight w:val="none"/>
        </w:rPr>
        <w:t>），包含塑胶渔排及其设施的制造、安装、筏架系统、承载构件及固泊系统等，采用单元化制造、模块化布置的方式建设，分布须一单元为一个整体，由若干组组成且每单元排列</w:t>
      </w:r>
      <w:r>
        <w:rPr>
          <w:rFonts w:hint="eastAsia" w:asciiTheme="majorEastAsia" w:hAnsiTheme="majorEastAsia" w:eastAsiaTheme="majorEastAsia" w:cstheme="majorEastAsia"/>
          <w:color w:val="auto"/>
          <w:sz w:val="24"/>
          <w:szCs w:val="24"/>
          <w:highlight w:val="none"/>
          <w:lang w:eastAsia="zh-CN"/>
        </w:rPr>
        <w:t>需</w:t>
      </w:r>
      <w:r>
        <w:rPr>
          <w:rFonts w:hint="eastAsia" w:asciiTheme="majorEastAsia" w:hAnsiTheme="majorEastAsia" w:eastAsiaTheme="majorEastAsia" w:cstheme="majorEastAsia"/>
          <w:color w:val="auto"/>
          <w:sz w:val="24"/>
          <w:szCs w:val="24"/>
          <w:highlight w:val="none"/>
          <w:lang w:val="en-US" w:eastAsia="zh-CN"/>
        </w:rPr>
        <w:t>≤</w:t>
      </w:r>
      <w:r>
        <w:rPr>
          <w:rFonts w:hint="eastAsia" w:asciiTheme="majorEastAsia" w:hAnsiTheme="majorEastAsia" w:eastAsiaTheme="majorEastAsia" w:cstheme="majorEastAsia"/>
          <w:color w:val="auto"/>
          <w:sz w:val="24"/>
          <w:szCs w:val="24"/>
          <w:highlight w:val="none"/>
          <w:lang w:eastAsia="zh-CN"/>
        </w:rPr>
        <w:t>100口，每组排列需</w:t>
      </w:r>
      <w:r>
        <w:rPr>
          <w:rFonts w:hint="eastAsia" w:asciiTheme="majorEastAsia" w:hAnsiTheme="majorEastAsia" w:eastAsiaTheme="majorEastAsia" w:cstheme="majorEastAsia"/>
          <w:color w:val="auto"/>
          <w:sz w:val="24"/>
          <w:szCs w:val="24"/>
          <w:highlight w:val="none"/>
          <w:lang w:val="en-US" w:eastAsia="zh-CN"/>
        </w:rPr>
        <w:t>≤</w:t>
      </w:r>
      <w:r>
        <w:rPr>
          <w:rFonts w:hint="eastAsia" w:asciiTheme="majorEastAsia" w:hAnsiTheme="majorEastAsia" w:eastAsiaTheme="majorEastAsia" w:cstheme="majorEastAsia"/>
          <w:color w:val="auto"/>
          <w:sz w:val="24"/>
          <w:szCs w:val="24"/>
          <w:highlight w:val="none"/>
          <w:lang w:eastAsia="zh-CN"/>
        </w:rPr>
        <w:t>25口</w:t>
      </w:r>
      <w:r>
        <w:rPr>
          <w:rFonts w:hint="eastAsia" w:asciiTheme="majorEastAsia" w:hAnsiTheme="majorEastAsia" w:eastAsiaTheme="majorEastAsia" w:cstheme="majorEastAsia"/>
          <w:color w:val="auto"/>
          <w:sz w:val="24"/>
          <w:szCs w:val="24"/>
          <w:highlight w:val="none"/>
        </w:rPr>
        <w:t>；</w:t>
      </w:r>
      <w:r>
        <w:rPr>
          <w:rFonts w:hint="eastAsia" w:asciiTheme="majorEastAsia" w:hAnsiTheme="majorEastAsia" w:eastAsiaTheme="majorEastAsia" w:cstheme="majorEastAsia"/>
          <w:b/>
          <w:bCs/>
          <w:color w:val="auto"/>
          <w:sz w:val="24"/>
          <w:szCs w:val="24"/>
          <w:highlight w:val="none"/>
          <w:lang w:val="en-US" w:eastAsia="zh-CN"/>
        </w:rPr>
        <w:t>4口深水抗风浪网箱</w:t>
      </w:r>
      <w:r>
        <w:rPr>
          <w:rFonts w:hint="eastAsia" w:asciiTheme="majorEastAsia" w:hAnsiTheme="majorEastAsia" w:eastAsiaTheme="majorEastAsia" w:cstheme="majorEastAsia"/>
          <w:color w:val="auto"/>
          <w:sz w:val="24"/>
          <w:szCs w:val="24"/>
          <w:highlight w:val="none"/>
        </w:rPr>
        <w:t>（</w:t>
      </w:r>
      <w:r>
        <w:rPr>
          <w:rFonts w:hint="eastAsia" w:asciiTheme="majorEastAsia" w:hAnsiTheme="majorEastAsia" w:eastAsiaTheme="majorEastAsia" w:cstheme="majorEastAsia"/>
          <w:b w:val="0"/>
          <w:bCs w:val="0"/>
          <w:color w:val="auto"/>
          <w:sz w:val="24"/>
          <w:szCs w:val="24"/>
          <w:highlight w:val="none"/>
          <w:lang w:eastAsia="zh-CN"/>
        </w:rPr>
        <w:t>规格为</w:t>
      </w:r>
      <w:r>
        <w:rPr>
          <w:rFonts w:hint="eastAsia" w:asciiTheme="majorEastAsia" w:hAnsiTheme="majorEastAsia" w:eastAsiaTheme="majorEastAsia" w:cstheme="majorEastAsia"/>
          <w:b w:val="0"/>
          <w:bCs w:val="0"/>
          <w:color w:val="auto"/>
          <w:sz w:val="24"/>
          <w:szCs w:val="24"/>
          <w:highlight w:val="none"/>
          <w:lang w:val="en-US" w:eastAsia="zh-CN"/>
        </w:rPr>
        <w:t>90m≤</w:t>
      </w:r>
      <w:r>
        <w:rPr>
          <w:rFonts w:hint="eastAsia" w:asciiTheme="majorEastAsia" w:hAnsiTheme="majorEastAsia" w:eastAsiaTheme="majorEastAsia" w:cstheme="majorEastAsia"/>
          <w:b w:val="0"/>
          <w:bCs w:val="0"/>
          <w:color w:val="auto"/>
          <w:sz w:val="24"/>
          <w:szCs w:val="24"/>
          <w:highlight w:val="none"/>
          <w:lang w:eastAsia="zh-CN"/>
        </w:rPr>
        <w:t>周长＜</w:t>
      </w:r>
      <w:r>
        <w:rPr>
          <w:rFonts w:hint="eastAsia" w:asciiTheme="majorEastAsia" w:hAnsiTheme="majorEastAsia" w:eastAsiaTheme="majorEastAsia" w:cstheme="majorEastAsia"/>
          <w:b w:val="0"/>
          <w:bCs w:val="0"/>
          <w:color w:val="auto"/>
          <w:sz w:val="24"/>
          <w:szCs w:val="24"/>
          <w:highlight w:val="none"/>
          <w:lang w:val="en-US" w:eastAsia="zh-CN"/>
        </w:rPr>
        <w:t>120m，以网箱内沿长度计算</w:t>
      </w:r>
      <w:r>
        <w:rPr>
          <w:rFonts w:hint="eastAsia" w:asciiTheme="majorEastAsia" w:hAnsiTheme="majorEastAsia" w:eastAsiaTheme="majorEastAsia" w:cstheme="majorEastAsia"/>
          <w:b w:val="0"/>
          <w:bCs w:val="0"/>
          <w:color w:val="auto"/>
          <w:sz w:val="24"/>
          <w:szCs w:val="24"/>
          <w:highlight w:val="none"/>
        </w:rPr>
        <w:t>）包含</w:t>
      </w:r>
      <w:r>
        <w:rPr>
          <w:rFonts w:hint="eastAsia" w:asciiTheme="majorEastAsia" w:hAnsiTheme="majorEastAsia" w:eastAsiaTheme="majorEastAsia" w:cstheme="majorEastAsia"/>
          <w:b w:val="0"/>
          <w:bCs w:val="0"/>
          <w:color w:val="auto"/>
          <w:sz w:val="24"/>
          <w:szCs w:val="24"/>
          <w:highlight w:val="none"/>
          <w:lang w:eastAsia="zh-CN"/>
        </w:rPr>
        <w:t>深水抗风浪网箱</w:t>
      </w:r>
      <w:r>
        <w:rPr>
          <w:rFonts w:hint="eastAsia" w:asciiTheme="majorEastAsia" w:hAnsiTheme="majorEastAsia" w:eastAsiaTheme="majorEastAsia" w:cstheme="majorEastAsia"/>
          <w:b w:val="0"/>
          <w:bCs w:val="0"/>
          <w:color w:val="auto"/>
          <w:sz w:val="24"/>
          <w:szCs w:val="24"/>
          <w:highlight w:val="none"/>
        </w:rPr>
        <w:t>平</w:t>
      </w:r>
      <w:r>
        <w:rPr>
          <w:rFonts w:hint="eastAsia" w:asciiTheme="majorEastAsia" w:hAnsiTheme="majorEastAsia" w:eastAsiaTheme="majorEastAsia" w:cstheme="majorEastAsia"/>
          <w:color w:val="auto"/>
          <w:sz w:val="24"/>
          <w:szCs w:val="24"/>
          <w:highlight w:val="none"/>
        </w:rPr>
        <w:t>台及其设施的制造、安装、承载构件及固泊系统等，采用单元化制造、模块化布置的方式建设</w:t>
      </w:r>
      <w:r>
        <w:rPr>
          <w:rFonts w:hint="eastAsia" w:asciiTheme="majorEastAsia" w:hAnsiTheme="majorEastAsia" w:eastAsiaTheme="majorEastAsia" w:cstheme="majorEastAsia"/>
          <w:color w:val="auto"/>
          <w:sz w:val="24"/>
          <w:szCs w:val="24"/>
          <w:highlight w:val="none"/>
          <w:lang w:eastAsia="zh-CN"/>
        </w:rPr>
        <w:t>。渔排以及网箱</w:t>
      </w:r>
      <w:r>
        <w:rPr>
          <w:rFonts w:hint="eastAsia" w:asciiTheme="majorEastAsia" w:hAnsiTheme="majorEastAsia" w:eastAsiaTheme="majorEastAsia" w:cstheme="majorEastAsia"/>
          <w:color w:val="auto"/>
          <w:sz w:val="24"/>
          <w:szCs w:val="24"/>
          <w:highlight w:val="none"/>
        </w:rPr>
        <w:t>建造技术要求按照</w:t>
      </w:r>
      <w:r>
        <w:rPr>
          <w:rStyle w:val="25"/>
          <w:rFonts w:hint="eastAsia" w:asciiTheme="majorEastAsia" w:hAnsiTheme="majorEastAsia" w:eastAsiaTheme="majorEastAsia" w:cstheme="majorEastAsia"/>
          <w:b w:val="0"/>
          <w:bCs/>
          <w:color w:val="auto"/>
          <w:kern w:val="2"/>
          <w:sz w:val="24"/>
          <w:szCs w:val="24"/>
          <w:highlight w:val="none"/>
          <w:lang w:val="en-US" w:eastAsia="zh-CN" w:bidi="ar-SA"/>
        </w:rPr>
        <w:t>《莆田市海洋与渔业局关于印发《莆田海上养殖设施建设技术要求（试行）》的通知》（莆海渔〔2021〕78号）以及</w:t>
      </w:r>
      <w:r>
        <w:rPr>
          <w:rFonts w:hint="eastAsia" w:asciiTheme="majorEastAsia" w:hAnsiTheme="majorEastAsia" w:eastAsiaTheme="majorEastAsia" w:cstheme="majorEastAsia"/>
          <w:color w:val="auto"/>
          <w:sz w:val="24"/>
          <w:szCs w:val="24"/>
          <w:highlight w:val="none"/>
        </w:rPr>
        <w:t>《福建省海洋与渔业局关于印发《福建省设施渔业项目建设技术要求（2018）》的通知》闽海渔〔2018〕214号。</w:t>
      </w:r>
    </w:p>
    <w:p>
      <w:pPr>
        <w:keepNext w:val="0"/>
        <w:keepLines w:val="0"/>
        <w:pageBreakBefore w:val="0"/>
        <w:widowControl w:val="0"/>
        <w:numPr>
          <w:ilvl w:val="0"/>
          <w:numId w:val="4"/>
        </w:numPr>
        <w:kinsoku/>
        <w:wordWrap/>
        <w:overflowPunct/>
        <w:topLinePunct w:val="0"/>
        <w:autoSpaceDE w:val="0"/>
        <w:autoSpaceDN w:val="0"/>
        <w:bidi w:val="0"/>
        <w:adjustRightInd w:val="0"/>
        <w:snapToGrid w:val="0"/>
        <w:spacing w:line="390" w:lineRule="exact"/>
        <w:jc w:val="left"/>
        <w:textAlignment w:val="auto"/>
        <w:rPr>
          <w:rStyle w:val="25"/>
          <w:rFonts w:hint="eastAsia" w:asciiTheme="majorEastAsia" w:hAnsiTheme="majorEastAsia" w:eastAsiaTheme="majorEastAsia" w:cstheme="majorEastAsia"/>
          <w:color w:val="auto"/>
          <w:sz w:val="24"/>
          <w:szCs w:val="24"/>
          <w:highlight w:val="none"/>
          <w:u w:val="single"/>
        </w:rPr>
      </w:pPr>
      <w:r>
        <w:rPr>
          <w:rFonts w:hint="eastAsia" w:asciiTheme="majorEastAsia" w:hAnsiTheme="majorEastAsia" w:eastAsiaTheme="majorEastAsia" w:cstheme="majorEastAsia"/>
          <w:b/>
          <w:bCs/>
          <w:color w:val="auto"/>
          <w:sz w:val="24"/>
          <w:szCs w:val="24"/>
          <w:highlight w:val="none"/>
        </w:rPr>
        <w:t>技术和服务要求</w:t>
      </w:r>
      <w:r>
        <w:rPr>
          <w:rStyle w:val="25"/>
          <w:rFonts w:hint="eastAsia" w:asciiTheme="majorEastAsia" w:hAnsiTheme="majorEastAsia" w:eastAsiaTheme="majorEastAsia" w:cstheme="majorEastAsia"/>
          <w:bCs/>
          <w:color w:val="auto"/>
          <w:sz w:val="24"/>
          <w:szCs w:val="24"/>
          <w:highlight w:val="none"/>
          <w:u w:val="single"/>
        </w:rPr>
        <w:t>（</w:t>
      </w:r>
      <w:r>
        <w:rPr>
          <w:rStyle w:val="25"/>
          <w:rFonts w:hint="eastAsia" w:asciiTheme="majorEastAsia" w:hAnsiTheme="majorEastAsia" w:eastAsiaTheme="majorEastAsia" w:cstheme="majorEastAsia"/>
          <w:color w:val="auto"/>
          <w:sz w:val="24"/>
          <w:szCs w:val="24"/>
          <w:highlight w:val="none"/>
          <w:u w:val="single"/>
        </w:rPr>
        <w:t>以“★”标示的内容为不允许负偏离的实质性要求）</w:t>
      </w:r>
    </w:p>
    <w:p>
      <w:pPr>
        <w:keepNext w:val="0"/>
        <w:keepLines w:val="0"/>
        <w:pageBreakBefore w:val="0"/>
        <w:widowControl w:val="0"/>
        <w:kinsoku/>
        <w:wordWrap/>
        <w:overflowPunct/>
        <w:topLinePunct w:val="0"/>
        <w:autoSpaceDE/>
        <w:autoSpaceDN/>
        <w:bidi w:val="0"/>
        <w:adjustRightInd/>
        <w:snapToGrid/>
        <w:spacing w:line="390" w:lineRule="exact"/>
        <w:ind w:firstLine="480" w:firstLineChars="200"/>
        <w:textAlignment w:val="auto"/>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lang w:val="en-US" w:eastAsia="zh-CN"/>
        </w:rPr>
        <w:t>（一）全塑胶养殖渔排主要材料及技术要求</w:t>
      </w:r>
    </w:p>
    <w:p>
      <w:pPr>
        <w:keepNext w:val="0"/>
        <w:keepLines w:val="0"/>
        <w:pageBreakBefore w:val="0"/>
        <w:widowControl w:val="0"/>
        <w:kinsoku/>
        <w:wordWrap/>
        <w:overflowPunct/>
        <w:topLinePunct w:val="0"/>
        <w:autoSpaceDE/>
        <w:autoSpaceDN/>
        <w:bidi w:val="0"/>
        <w:adjustRightInd/>
        <w:snapToGrid/>
        <w:spacing w:line="390" w:lineRule="exact"/>
        <w:ind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全塑胶养殖渔排的框架、浮球均采用高密度聚乙烯（HDPE）等非再生塑胶材料。</w:t>
      </w:r>
    </w:p>
    <w:p>
      <w:pPr>
        <w:keepNext w:val="0"/>
        <w:keepLines w:val="0"/>
        <w:pageBreakBefore w:val="0"/>
        <w:widowControl w:val="0"/>
        <w:kinsoku/>
        <w:wordWrap/>
        <w:overflowPunct/>
        <w:topLinePunct w:val="0"/>
        <w:autoSpaceDE/>
        <w:autoSpaceDN/>
        <w:bidi w:val="0"/>
        <w:adjustRightInd/>
        <w:snapToGrid/>
        <w:spacing w:line="390" w:lineRule="exact"/>
        <w:ind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1、</w:t>
      </w:r>
      <w:r>
        <w:rPr>
          <w:rFonts w:hint="eastAsia" w:asciiTheme="majorEastAsia" w:hAnsiTheme="majorEastAsia" w:eastAsiaTheme="majorEastAsia" w:cstheme="majorEastAsia"/>
          <w:color w:val="auto"/>
          <w:sz w:val="24"/>
          <w:szCs w:val="24"/>
          <w:highlight w:val="none"/>
        </w:rPr>
        <w:t>全塑胶养殖渔排分为管式塑胶渔排与板式塑胶渔排两种类型，两种类型塑胶渔排的网箱框架均为方形。</w:t>
      </w:r>
    </w:p>
    <w:p>
      <w:pPr>
        <w:keepNext w:val="0"/>
        <w:keepLines w:val="0"/>
        <w:pageBreakBefore w:val="0"/>
        <w:widowControl w:val="0"/>
        <w:kinsoku/>
        <w:wordWrap/>
        <w:overflowPunct/>
        <w:topLinePunct w:val="0"/>
        <w:autoSpaceDE/>
        <w:autoSpaceDN/>
        <w:bidi w:val="0"/>
        <w:adjustRightInd/>
        <w:snapToGrid/>
        <w:spacing w:line="39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1.1</w:t>
      </w:r>
      <w:r>
        <w:rPr>
          <w:rFonts w:hint="eastAsia" w:asciiTheme="majorEastAsia" w:hAnsiTheme="majorEastAsia" w:eastAsiaTheme="majorEastAsia" w:cstheme="majorEastAsia"/>
          <w:color w:val="auto"/>
          <w:sz w:val="24"/>
          <w:szCs w:val="24"/>
          <w:highlight w:val="none"/>
        </w:rPr>
        <w:t>管式塑胶渔排：由支架、走道垫片、浮球等组成。</w:t>
      </w:r>
    </w:p>
    <w:p>
      <w:pPr>
        <w:keepNext w:val="0"/>
        <w:keepLines w:val="0"/>
        <w:pageBreakBefore w:val="0"/>
        <w:widowControl w:val="0"/>
        <w:kinsoku/>
        <w:wordWrap/>
        <w:overflowPunct/>
        <w:topLinePunct w:val="0"/>
        <w:autoSpaceDE/>
        <w:autoSpaceDN/>
        <w:bidi w:val="0"/>
        <w:adjustRightInd/>
        <w:snapToGrid/>
        <w:spacing w:line="39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支架管材的外径不小于110毫米，壁厚不小于10毫米；走道垫片的宽度不小于50厘米，厚度不小于30毫米。</w:t>
      </w:r>
    </w:p>
    <w:p>
      <w:pPr>
        <w:keepNext w:val="0"/>
        <w:keepLines w:val="0"/>
        <w:pageBreakBefore w:val="0"/>
        <w:widowControl w:val="0"/>
        <w:kinsoku/>
        <w:wordWrap/>
        <w:overflowPunct/>
        <w:topLinePunct w:val="0"/>
        <w:autoSpaceDE/>
        <w:autoSpaceDN/>
        <w:bidi w:val="0"/>
        <w:adjustRightInd/>
        <w:snapToGrid/>
        <w:spacing w:line="39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1.2</w:t>
      </w:r>
      <w:r>
        <w:rPr>
          <w:rFonts w:hint="eastAsia" w:asciiTheme="majorEastAsia" w:hAnsiTheme="majorEastAsia" w:eastAsiaTheme="majorEastAsia" w:cstheme="majorEastAsia"/>
          <w:color w:val="auto"/>
          <w:sz w:val="24"/>
          <w:szCs w:val="24"/>
          <w:highlight w:val="none"/>
        </w:rPr>
        <w:t>板式塑胶渔排：由走道板、浮球等组成。</w:t>
      </w:r>
    </w:p>
    <w:p>
      <w:pPr>
        <w:keepNext w:val="0"/>
        <w:keepLines w:val="0"/>
        <w:pageBreakBefore w:val="0"/>
        <w:widowControl w:val="0"/>
        <w:kinsoku/>
        <w:wordWrap/>
        <w:overflowPunct/>
        <w:topLinePunct w:val="0"/>
        <w:autoSpaceDE/>
        <w:autoSpaceDN/>
        <w:bidi w:val="0"/>
        <w:adjustRightInd/>
        <w:snapToGrid/>
        <w:spacing w:line="390" w:lineRule="exact"/>
        <w:ind w:firstLine="480"/>
        <w:textAlignment w:val="auto"/>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rPr>
        <w:t>走道板的宽度不小于</w:t>
      </w:r>
      <w:r>
        <w:rPr>
          <w:rFonts w:hint="eastAsia" w:asciiTheme="majorEastAsia" w:hAnsiTheme="majorEastAsia" w:eastAsiaTheme="majorEastAsia" w:cstheme="majorEastAsia"/>
          <w:color w:val="auto"/>
          <w:sz w:val="24"/>
          <w:szCs w:val="24"/>
          <w:highlight w:val="none"/>
          <w:lang w:val="en-US" w:eastAsia="zh-CN"/>
        </w:rPr>
        <w:t>50</w:t>
      </w:r>
      <w:r>
        <w:rPr>
          <w:rFonts w:hint="eastAsia" w:asciiTheme="majorEastAsia" w:hAnsiTheme="majorEastAsia" w:eastAsiaTheme="majorEastAsia" w:cstheme="majorEastAsia"/>
          <w:color w:val="auto"/>
          <w:sz w:val="24"/>
          <w:szCs w:val="24"/>
          <w:highlight w:val="none"/>
        </w:rPr>
        <w:t>厘米，厚度不小于75毫米，四周壁厚不小于10毫米</w:t>
      </w: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color w:val="auto"/>
          <w:sz w:val="24"/>
          <w:szCs w:val="24"/>
          <w:highlight w:val="none"/>
        </w:rPr>
        <w:t>每米重量不小于13千克</w:t>
      </w:r>
      <w:r>
        <w:rPr>
          <w:rFonts w:hint="eastAsia" w:asciiTheme="majorEastAsia" w:hAnsiTheme="majorEastAsia" w:eastAsiaTheme="majorEastAsia" w:cstheme="majorEastAsia"/>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9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2、</w:t>
      </w:r>
      <w:r>
        <w:rPr>
          <w:rFonts w:hint="eastAsia" w:asciiTheme="majorEastAsia" w:hAnsiTheme="majorEastAsia" w:eastAsiaTheme="majorEastAsia" w:cstheme="majorEastAsia"/>
          <w:color w:val="auto"/>
          <w:sz w:val="24"/>
          <w:szCs w:val="24"/>
          <w:highlight w:val="none"/>
        </w:rPr>
        <w:t>渔排塑胶浮球</w:t>
      </w:r>
    </w:p>
    <w:p>
      <w:pPr>
        <w:keepNext w:val="0"/>
        <w:keepLines w:val="0"/>
        <w:pageBreakBefore w:val="0"/>
        <w:widowControl w:val="0"/>
        <w:kinsoku/>
        <w:wordWrap/>
        <w:overflowPunct/>
        <w:topLinePunct w:val="0"/>
        <w:autoSpaceDE/>
        <w:autoSpaceDN/>
        <w:bidi w:val="0"/>
        <w:adjustRightInd/>
        <w:snapToGrid/>
        <w:spacing w:line="390" w:lineRule="exact"/>
        <w:ind w:firstLine="480"/>
        <w:textAlignment w:val="auto"/>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rPr>
        <w:t>渔排塑胶浮球材质为HDPE，全塑胶养殖渔排均采用圆柱形塑胶浮球，其直径不小于50厘米，长度不小于90厘米,最小壁厚5毫米，每粒重量不小于12.88千克</w:t>
      </w: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color w:val="auto"/>
          <w:sz w:val="24"/>
          <w:szCs w:val="24"/>
          <w:highlight w:val="none"/>
        </w:rPr>
        <w:t>数量配置需满足渔排整体浮力要求，且浮力不应小于标准浮力的95%，浮筒水上部分高度不小于</w:t>
      </w:r>
      <w:r>
        <w:rPr>
          <w:rFonts w:hint="eastAsia" w:asciiTheme="majorEastAsia" w:hAnsiTheme="majorEastAsia" w:eastAsiaTheme="majorEastAsia" w:cstheme="majorEastAsia"/>
          <w:color w:val="auto"/>
          <w:sz w:val="24"/>
          <w:szCs w:val="24"/>
          <w:highlight w:val="none"/>
          <w:lang w:val="en-US" w:eastAsia="zh-CN"/>
        </w:rPr>
        <w:t>270</w:t>
      </w:r>
      <w:r>
        <w:rPr>
          <w:rFonts w:hint="eastAsia" w:asciiTheme="majorEastAsia" w:hAnsiTheme="majorEastAsia" w:eastAsiaTheme="majorEastAsia" w:cstheme="majorEastAsia"/>
          <w:color w:val="auto"/>
          <w:sz w:val="24"/>
          <w:szCs w:val="24"/>
          <w:highlight w:val="none"/>
        </w:rPr>
        <w:t>毫米；</w:t>
      </w:r>
      <w:r>
        <w:rPr>
          <w:rFonts w:hint="eastAsia" w:asciiTheme="majorEastAsia" w:hAnsiTheme="majorEastAsia" w:eastAsiaTheme="majorEastAsia" w:cstheme="majorEastAsia"/>
          <w:color w:val="auto"/>
          <w:sz w:val="24"/>
          <w:szCs w:val="24"/>
          <w:highlight w:val="none"/>
          <w:lang w:eastAsia="zh-CN"/>
        </w:rPr>
        <w:t>浮筒锁口处高度不小于水面</w:t>
      </w:r>
      <w:r>
        <w:rPr>
          <w:rFonts w:hint="eastAsia" w:asciiTheme="majorEastAsia" w:hAnsiTheme="majorEastAsia" w:eastAsiaTheme="majorEastAsia" w:cstheme="majorEastAsia"/>
          <w:color w:val="auto"/>
          <w:sz w:val="24"/>
          <w:szCs w:val="24"/>
          <w:highlight w:val="none"/>
          <w:lang w:val="en-US" w:eastAsia="zh-CN"/>
        </w:rPr>
        <w:t>270毫米。</w:t>
      </w:r>
      <w:r>
        <w:rPr>
          <w:rFonts w:hint="eastAsia" w:asciiTheme="majorEastAsia" w:hAnsiTheme="majorEastAsia" w:eastAsiaTheme="majorEastAsia" w:cstheme="majorEastAsia"/>
          <w:color w:val="auto"/>
          <w:sz w:val="24"/>
          <w:szCs w:val="24"/>
          <w:highlight w:val="none"/>
        </w:rPr>
        <w:t>走道板与浮球连接方式采用360丝以上黑色PE绳子捆扎，捆扎三圈以上</w:t>
      </w:r>
      <w:r>
        <w:rPr>
          <w:rFonts w:hint="eastAsia" w:asciiTheme="majorEastAsia" w:hAnsiTheme="majorEastAsia" w:eastAsiaTheme="majorEastAsia" w:cstheme="majorEastAsia"/>
          <w:color w:val="auto"/>
          <w:sz w:val="24"/>
          <w:szCs w:val="24"/>
          <w:highlight w:val="none"/>
          <w:lang w:eastAsia="zh-CN"/>
        </w:rPr>
        <w:t>，每口的踏板均</w:t>
      </w:r>
      <w:r>
        <w:rPr>
          <w:rFonts w:hint="eastAsia" w:asciiTheme="majorEastAsia" w:hAnsiTheme="majorEastAsia" w:eastAsiaTheme="majorEastAsia" w:cstheme="majorEastAsia"/>
          <w:color w:val="auto"/>
          <w:sz w:val="24"/>
          <w:szCs w:val="24"/>
          <w:highlight w:val="none"/>
        </w:rPr>
        <w:t>应捆扎3个</w:t>
      </w:r>
      <w:r>
        <w:rPr>
          <w:rFonts w:hint="eastAsia" w:asciiTheme="majorEastAsia" w:hAnsiTheme="majorEastAsia" w:eastAsiaTheme="majorEastAsia" w:cstheme="majorEastAsia"/>
          <w:color w:val="auto"/>
          <w:sz w:val="24"/>
          <w:szCs w:val="24"/>
          <w:highlight w:val="none"/>
          <w:lang w:eastAsia="zh-CN"/>
        </w:rPr>
        <w:t>及以上</w:t>
      </w:r>
      <w:r>
        <w:rPr>
          <w:rFonts w:hint="eastAsia" w:asciiTheme="majorEastAsia" w:hAnsiTheme="majorEastAsia" w:eastAsiaTheme="majorEastAsia" w:cstheme="majorEastAsia"/>
          <w:color w:val="auto"/>
          <w:sz w:val="24"/>
          <w:szCs w:val="24"/>
          <w:highlight w:val="none"/>
        </w:rPr>
        <w:t>塑胶浮球</w:t>
      </w:r>
      <w:r>
        <w:rPr>
          <w:rFonts w:hint="eastAsia" w:asciiTheme="majorEastAsia" w:hAnsiTheme="majorEastAsia" w:eastAsiaTheme="majorEastAsia" w:cstheme="majorEastAsia"/>
          <w:color w:val="auto"/>
          <w:sz w:val="24"/>
          <w:szCs w:val="24"/>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90" w:lineRule="exact"/>
        <w:ind w:left="0" w:leftChars="0" w:firstLine="477" w:firstLineChars="199"/>
        <w:textAlignment w:val="auto"/>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lang w:eastAsia="zh-CN"/>
        </w:rPr>
        <w:t>每组渔排连接采用轮胎（轮胎尺寸不小于</w:t>
      </w:r>
      <w:r>
        <w:rPr>
          <w:rFonts w:hint="eastAsia" w:asciiTheme="majorEastAsia" w:hAnsiTheme="majorEastAsia" w:eastAsiaTheme="majorEastAsia" w:cstheme="majorEastAsia"/>
          <w:color w:val="auto"/>
          <w:sz w:val="24"/>
          <w:szCs w:val="24"/>
          <w:highlight w:val="none"/>
          <w:lang w:val="en-US" w:eastAsia="zh-CN"/>
        </w:rPr>
        <w:t>16寸，具体以实际情况为准）</w:t>
      </w:r>
      <w:r>
        <w:rPr>
          <w:rFonts w:hint="eastAsia" w:asciiTheme="majorEastAsia" w:hAnsiTheme="majorEastAsia" w:eastAsiaTheme="majorEastAsia" w:cstheme="majorEastAsia"/>
          <w:color w:val="auto"/>
          <w:sz w:val="24"/>
          <w:szCs w:val="24"/>
          <w:highlight w:val="none"/>
          <w:lang w:eastAsia="zh-CN"/>
        </w:rPr>
        <w:t>、PE绳捆绑连接方式，顺流与横流踏板连接处需捆绑不少于1个轮胎。</w:t>
      </w:r>
    </w:p>
    <w:p>
      <w:pPr>
        <w:keepNext w:val="0"/>
        <w:keepLines w:val="0"/>
        <w:pageBreakBefore w:val="0"/>
        <w:widowControl w:val="0"/>
        <w:numPr>
          <w:ilvl w:val="0"/>
          <w:numId w:val="1"/>
        </w:numPr>
        <w:kinsoku/>
        <w:wordWrap/>
        <w:overflowPunct/>
        <w:topLinePunct w:val="0"/>
        <w:autoSpaceDE/>
        <w:autoSpaceDN/>
        <w:bidi w:val="0"/>
        <w:adjustRightInd/>
        <w:snapToGrid/>
        <w:spacing w:line="390" w:lineRule="exact"/>
        <w:ind w:left="0" w:leftChars="0" w:firstLine="477" w:firstLineChars="199"/>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渔排锚固设施</w:t>
      </w:r>
    </w:p>
    <w:p>
      <w:pPr>
        <w:keepNext w:val="0"/>
        <w:keepLines w:val="0"/>
        <w:pageBreakBefore w:val="0"/>
        <w:widowControl w:val="0"/>
        <w:kinsoku/>
        <w:wordWrap/>
        <w:overflowPunct/>
        <w:topLinePunct w:val="0"/>
        <w:autoSpaceDE/>
        <w:autoSpaceDN/>
        <w:bidi w:val="0"/>
        <w:adjustRightInd/>
        <w:snapToGrid/>
        <w:spacing w:line="39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每单元渔排需锚固20组，每组锚绳长度是最高潮位水深的4倍，锚绳直径32毫米以上的PP或HDPE锚绳，渔排锚固采用5</w:t>
      </w:r>
      <w:r>
        <w:rPr>
          <w:rFonts w:hint="eastAsia" w:asciiTheme="majorEastAsia" w:hAnsiTheme="majorEastAsia" w:eastAsiaTheme="majorEastAsia" w:cstheme="majorEastAsia"/>
          <w:color w:val="auto"/>
          <w:sz w:val="24"/>
          <w:szCs w:val="24"/>
          <w:highlight w:val="none"/>
          <w:lang w:eastAsia="zh-CN"/>
        </w:rPr>
        <w:t>吨</w:t>
      </w:r>
      <w:r>
        <w:rPr>
          <w:rFonts w:hint="eastAsia" w:asciiTheme="majorEastAsia" w:hAnsiTheme="majorEastAsia" w:eastAsiaTheme="majorEastAsia" w:cstheme="majorEastAsia"/>
          <w:color w:val="auto"/>
          <w:sz w:val="24"/>
          <w:szCs w:val="24"/>
          <w:highlight w:val="none"/>
        </w:rPr>
        <w:t>以上的</w:t>
      </w:r>
      <w:r>
        <w:rPr>
          <w:rFonts w:hint="eastAsia" w:asciiTheme="majorEastAsia" w:hAnsiTheme="majorEastAsia" w:eastAsiaTheme="majorEastAsia" w:cstheme="majorEastAsia"/>
          <w:color w:val="auto"/>
          <w:sz w:val="24"/>
          <w:szCs w:val="24"/>
          <w:highlight w:val="none"/>
          <w:lang w:eastAsia="zh-CN"/>
        </w:rPr>
        <w:t>块石或</w:t>
      </w:r>
      <w:r>
        <w:rPr>
          <w:rFonts w:hint="eastAsia" w:asciiTheme="majorEastAsia" w:hAnsiTheme="majorEastAsia" w:eastAsiaTheme="majorEastAsia" w:cstheme="majorEastAsia"/>
          <w:color w:val="auto"/>
          <w:sz w:val="24"/>
          <w:szCs w:val="24"/>
          <w:highlight w:val="none"/>
          <w:lang w:val="en-US" w:eastAsia="zh-CN"/>
        </w:rPr>
        <w:t>3吨以上</w:t>
      </w:r>
      <w:r>
        <w:rPr>
          <w:rFonts w:hint="eastAsia" w:asciiTheme="majorEastAsia" w:hAnsiTheme="majorEastAsia" w:eastAsiaTheme="majorEastAsia" w:cstheme="majorEastAsia"/>
          <w:color w:val="auto"/>
          <w:sz w:val="24"/>
          <w:szCs w:val="24"/>
          <w:highlight w:val="none"/>
        </w:rPr>
        <w:t>水泥制作锚。</w:t>
      </w:r>
    </w:p>
    <w:p>
      <w:pPr>
        <w:keepNext w:val="0"/>
        <w:keepLines w:val="0"/>
        <w:pageBreakBefore w:val="0"/>
        <w:widowControl w:val="0"/>
        <w:numPr>
          <w:ilvl w:val="0"/>
          <w:numId w:val="0"/>
        </w:numPr>
        <w:kinsoku/>
        <w:wordWrap/>
        <w:overflowPunct/>
        <w:topLinePunct w:val="0"/>
        <w:autoSpaceDE/>
        <w:autoSpaceDN/>
        <w:bidi w:val="0"/>
        <w:adjustRightInd/>
        <w:snapToGrid/>
        <w:spacing w:line="390" w:lineRule="exact"/>
        <w:ind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5、每</w:t>
      </w:r>
      <w:r>
        <w:rPr>
          <w:rFonts w:hint="eastAsia" w:asciiTheme="majorEastAsia" w:hAnsiTheme="majorEastAsia" w:eastAsiaTheme="majorEastAsia" w:cstheme="majorEastAsia"/>
          <w:color w:val="auto"/>
          <w:sz w:val="24"/>
          <w:szCs w:val="24"/>
          <w:highlight w:val="none"/>
          <w:lang w:eastAsia="zh-CN"/>
        </w:rPr>
        <w:t>单元渔排顺流方向应设置排头，排头采用</w:t>
      </w:r>
      <w:r>
        <w:rPr>
          <w:rFonts w:hint="eastAsia" w:asciiTheme="majorEastAsia" w:hAnsiTheme="majorEastAsia" w:eastAsiaTheme="majorEastAsia" w:cstheme="majorEastAsia"/>
          <w:color w:val="auto"/>
          <w:sz w:val="24"/>
          <w:szCs w:val="24"/>
          <w:highlight w:val="none"/>
        </w:rPr>
        <w:t>高密度聚乙烯（HDPE）等非再生塑胶材料。</w:t>
      </w:r>
    </w:p>
    <w:p>
      <w:pPr>
        <w:keepNext w:val="0"/>
        <w:keepLines w:val="0"/>
        <w:pageBreakBefore w:val="0"/>
        <w:widowControl w:val="0"/>
        <w:kinsoku/>
        <w:wordWrap/>
        <w:overflowPunct/>
        <w:topLinePunct w:val="0"/>
        <w:autoSpaceDE/>
        <w:autoSpaceDN/>
        <w:bidi w:val="0"/>
        <w:adjustRightInd/>
        <w:snapToGrid/>
        <w:spacing w:line="390" w:lineRule="exact"/>
        <w:ind w:left="0" w:leftChars="0" w:firstLine="480" w:firstLineChars="200"/>
        <w:textAlignment w:val="auto"/>
        <w:rPr>
          <w:rFonts w:hint="eastAsia" w:asciiTheme="majorEastAsia" w:hAnsiTheme="majorEastAsia" w:eastAsiaTheme="majorEastAsia" w:cstheme="majorEastAsia"/>
          <w:b w:val="0"/>
          <w:bCs/>
          <w:color w:val="auto"/>
          <w:kern w:val="2"/>
          <w:sz w:val="24"/>
          <w:szCs w:val="24"/>
          <w:highlight w:val="none"/>
          <w:lang w:val="en-US" w:eastAsia="zh-CN" w:bidi="ar-SA"/>
        </w:rPr>
      </w:pPr>
      <w:r>
        <w:rPr>
          <w:rFonts w:hint="eastAsia" w:asciiTheme="majorEastAsia" w:hAnsiTheme="majorEastAsia" w:eastAsiaTheme="majorEastAsia" w:cstheme="majorEastAsia"/>
          <w:b w:val="0"/>
          <w:bCs/>
          <w:color w:val="auto"/>
          <w:kern w:val="2"/>
          <w:sz w:val="24"/>
          <w:szCs w:val="24"/>
          <w:highlight w:val="none"/>
          <w:lang w:val="en-US" w:eastAsia="zh-CN" w:bidi="ar-SA"/>
        </w:rPr>
        <w:t>（二）深水抗风浪网箱主要材料及技术要求</w:t>
      </w:r>
    </w:p>
    <w:p>
      <w:pPr>
        <w:keepNext w:val="0"/>
        <w:keepLines w:val="0"/>
        <w:pageBreakBefore w:val="0"/>
        <w:widowControl w:val="0"/>
        <w:kinsoku/>
        <w:wordWrap/>
        <w:overflowPunct/>
        <w:topLinePunct w:val="0"/>
        <w:autoSpaceDE/>
        <w:autoSpaceDN/>
        <w:bidi w:val="0"/>
        <w:adjustRightInd/>
        <w:snapToGrid/>
        <w:spacing w:line="390" w:lineRule="exact"/>
        <w:ind w:firstLine="480"/>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1、深水抗风浪养殖网箱包括:网箱框架、固泊、养殖操作平台(根据实际需要而建)等。</w:t>
      </w:r>
    </w:p>
    <w:p>
      <w:pPr>
        <w:keepNext w:val="0"/>
        <w:keepLines w:val="0"/>
        <w:pageBreakBefore w:val="0"/>
        <w:widowControl w:val="0"/>
        <w:kinsoku/>
        <w:wordWrap/>
        <w:overflowPunct/>
        <w:topLinePunct w:val="0"/>
        <w:autoSpaceDE/>
        <w:autoSpaceDN/>
        <w:bidi w:val="0"/>
        <w:adjustRightInd/>
        <w:snapToGrid/>
        <w:spacing w:line="390" w:lineRule="exact"/>
        <w:ind w:firstLine="480"/>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2、规模:深水抗风浪养殖网箱建设规模为4口（</w:t>
      </w:r>
      <w:r>
        <w:rPr>
          <w:rFonts w:hint="eastAsia" w:asciiTheme="majorEastAsia" w:hAnsiTheme="majorEastAsia" w:eastAsiaTheme="majorEastAsia" w:cstheme="majorEastAsia"/>
          <w:b w:val="0"/>
          <w:bCs w:val="0"/>
          <w:color w:val="auto"/>
          <w:sz w:val="24"/>
          <w:szCs w:val="24"/>
          <w:highlight w:val="none"/>
          <w:lang w:val="en-US" w:eastAsia="zh-CN"/>
        </w:rPr>
        <w:t>90m≤</w:t>
      </w:r>
      <w:r>
        <w:rPr>
          <w:rFonts w:hint="eastAsia" w:asciiTheme="majorEastAsia" w:hAnsiTheme="majorEastAsia" w:eastAsiaTheme="majorEastAsia" w:cstheme="majorEastAsia"/>
          <w:b w:val="0"/>
          <w:bCs w:val="0"/>
          <w:color w:val="auto"/>
          <w:sz w:val="24"/>
          <w:szCs w:val="24"/>
          <w:highlight w:val="none"/>
          <w:lang w:eastAsia="zh-CN"/>
        </w:rPr>
        <w:t>周长＜</w:t>
      </w:r>
      <w:r>
        <w:rPr>
          <w:rFonts w:hint="eastAsia" w:asciiTheme="majorEastAsia" w:hAnsiTheme="majorEastAsia" w:eastAsiaTheme="majorEastAsia" w:cstheme="majorEastAsia"/>
          <w:b w:val="0"/>
          <w:bCs w:val="0"/>
          <w:color w:val="auto"/>
          <w:sz w:val="24"/>
          <w:szCs w:val="24"/>
          <w:highlight w:val="none"/>
          <w:lang w:val="en-US" w:eastAsia="zh-CN"/>
        </w:rPr>
        <w:t>120m</w:t>
      </w:r>
      <w:r>
        <w:rPr>
          <w:rFonts w:hint="eastAsia" w:asciiTheme="majorEastAsia" w:hAnsiTheme="majorEastAsia" w:eastAsiaTheme="majorEastAsia" w:cstheme="majorEastAsia"/>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90" w:lineRule="exact"/>
        <w:ind w:firstLine="480"/>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3、材料:深水抗风浪养殖网箱系统的框架结构、浮力管等均采用高密度聚乙烯(HDPE) 等非再生塑胶材料。</w:t>
      </w:r>
    </w:p>
    <w:p>
      <w:pPr>
        <w:keepNext w:val="0"/>
        <w:keepLines w:val="0"/>
        <w:pageBreakBefore w:val="0"/>
        <w:widowControl w:val="0"/>
        <w:kinsoku/>
        <w:wordWrap/>
        <w:overflowPunct/>
        <w:topLinePunct w:val="0"/>
        <w:autoSpaceDE/>
        <w:autoSpaceDN/>
        <w:bidi w:val="0"/>
        <w:adjustRightInd/>
        <w:snapToGrid/>
        <w:spacing w:line="390" w:lineRule="exact"/>
        <w:ind w:firstLine="480"/>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4、框架:深水抗风浪养殖网箱框架为圆形、方形或其它多边形。</w:t>
      </w:r>
    </w:p>
    <w:p>
      <w:pPr>
        <w:keepNext w:val="0"/>
        <w:keepLines w:val="0"/>
        <w:pageBreakBefore w:val="0"/>
        <w:widowControl w:val="0"/>
        <w:kinsoku/>
        <w:wordWrap/>
        <w:overflowPunct/>
        <w:topLinePunct w:val="0"/>
        <w:autoSpaceDE/>
        <w:autoSpaceDN/>
        <w:bidi w:val="0"/>
        <w:adjustRightInd/>
        <w:snapToGrid/>
        <w:spacing w:line="390" w:lineRule="exact"/>
        <w:ind w:firstLine="480"/>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5、设计标准：采用双浮管设计，浮管外径不小于355毫米，壁厚不小于22毫米；人行道安装单侧或双侧扶手(指人行道内外侧)，扶手高度不低于90厘米，扶手固定桩间距不大于1.8米，安装双管扶手、扶手管直径不小于90毫米；走道铺设塑胶脚板，宽度不小于80厘米，厚度不小于60毫米。每个深水抗风浪网箱需锚固不少于12组，锚绳与锚石要求参照渔排锚固要求。中标后提供网箱的详细的设计图纸，编制材料清单和承载力及浮力的计算稿。</w:t>
      </w:r>
    </w:p>
    <w:p>
      <w:pPr>
        <w:keepNext w:val="0"/>
        <w:keepLines w:val="0"/>
        <w:pageBreakBefore w:val="0"/>
        <w:widowControl w:val="0"/>
        <w:kinsoku/>
        <w:wordWrap/>
        <w:overflowPunct/>
        <w:topLinePunct w:val="0"/>
        <w:autoSpaceDE/>
        <w:autoSpaceDN/>
        <w:bidi w:val="0"/>
        <w:adjustRightInd/>
        <w:snapToGrid/>
        <w:spacing w:line="390" w:lineRule="exact"/>
        <w:ind w:left="0" w:leftChars="0" w:firstLine="480" w:firstLineChars="200"/>
        <w:textAlignment w:val="auto"/>
        <w:rPr>
          <w:rFonts w:hint="eastAsia" w:asciiTheme="majorEastAsia" w:hAnsiTheme="majorEastAsia" w:eastAsiaTheme="majorEastAsia" w:cstheme="majorEastAsia"/>
          <w:b w:val="0"/>
          <w:bCs/>
          <w:color w:val="auto"/>
          <w:kern w:val="2"/>
          <w:sz w:val="24"/>
          <w:szCs w:val="24"/>
          <w:highlight w:val="none"/>
          <w:lang w:val="en-US" w:eastAsia="zh-CN" w:bidi="ar-SA"/>
        </w:rPr>
      </w:pPr>
      <w:r>
        <w:rPr>
          <w:rFonts w:hint="eastAsia" w:asciiTheme="majorEastAsia" w:hAnsiTheme="majorEastAsia" w:eastAsiaTheme="majorEastAsia" w:cstheme="majorEastAsia"/>
          <w:b w:val="0"/>
          <w:bCs/>
          <w:color w:val="auto"/>
          <w:kern w:val="2"/>
          <w:sz w:val="24"/>
          <w:szCs w:val="24"/>
          <w:highlight w:val="none"/>
          <w:lang w:val="en-US" w:eastAsia="zh-CN" w:bidi="ar-SA"/>
        </w:rPr>
        <w:t>（三）连接件用热镀锌垫片和螺栓</w:t>
      </w:r>
    </w:p>
    <w:p>
      <w:pPr>
        <w:keepNext w:val="0"/>
        <w:keepLines w:val="0"/>
        <w:pageBreakBefore w:val="0"/>
        <w:widowControl w:val="0"/>
        <w:kinsoku/>
        <w:wordWrap/>
        <w:overflowPunct/>
        <w:topLinePunct w:val="0"/>
        <w:autoSpaceDE/>
        <w:autoSpaceDN/>
        <w:bidi w:val="0"/>
        <w:adjustRightInd/>
        <w:snapToGrid/>
        <w:spacing w:line="390" w:lineRule="exact"/>
        <w:ind w:firstLine="480"/>
        <w:textAlignment w:val="auto"/>
        <w:rPr>
          <w:rFonts w:hint="eastAsia" w:asciiTheme="majorEastAsia" w:hAnsiTheme="majorEastAsia" w:eastAsiaTheme="majorEastAsia" w:cstheme="majorEastAsia"/>
          <w:b w:val="0"/>
          <w:bCs w:val="0"/>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每套连接件采用3块热镀锌垫片和 4组外六角螺栓、六角螺母、平垫、弹垫组成。热镀锌垫片材质为Q235B，热镀锌厚度不小于90um,方垫片尺寸不小于外280（内180）*50*4mm，长条垫片尺寸不小于280*50*4mm；外六角螺栓符合国标GB5782,</w:t>
      </w:r>
      <w:r>
        <w:rPr>
          <w:rFonts w:hint="eastAsia" w:asciiTheme="majorEastAsia" w:hAnsiTheme="majorEastAsia" w:eastAsiaTheme="majorEastAsia" w:cstheme="majorEastAsia"/>
          <w:b w:val="0"/>
          <w:bCs w:val="0"/>
          <w:color w:val="auto"/>
          <w:sz w:val="24"/>
          <w:szCs w:val="24"/>
          <w:highlight w:val="none"/>
          <w:lang w:val="en-US" w:eastAsia="zh-CN"/>
        </w:rPr>
        <w:t>规格为M16，级别不小于8.8级。材料必须为有资质标准件的厂家，</w:t>
      </w:r>
      <w:r>
        <w:rPr>
          <w:rFonts w:hint="eastAsia" w:asciiTheme="majorEastAsia" w:hAnsiTheme="majorEastAsia" w:eastAsiaTheme="majorEastAsia" w:cstheme="majorEastAsia"/>
          <w:color w:val="auto"/>
          <w:sz w:val="24"/>
          <w:szCs w:val="24"/>
          <w:highlight w:val="none"/>
          <w:lang w:val="en-US" w:eastAsia="zh-CN"/>
        </w:rPr>
        <w:t>中标后</w:t>
      </w:r>
      <w:r>
        <w:rPr>
          <w:rFonts w:hint="eastAsia" w:asciiTheme="majorEastAsia" w:hAnsiTheme="majorEastAsia" w:eastAsiaTheme="majorEastAsia" w:cstheme="majorEastAsia"/>
          <w:b w:val="0"/>
          <w:bCs w:val="0"/>
          <w:color w:val="auto"/>
          <w:sz w:val="24"/>
          <w:szCs w:val="24"/>
          <w:highlight w:val="none"/>
          <w:lang w:val="en-US" w:eastAsia="zh-CN"/>
        </w:rPr>
        <w:t>提供采购发票及流水验证。</w:t>
      </w:r>
    </w:p>
    <w:p>
      <w:pPr>
        <w:pStyle w:val="2"/>
        <w:keepNext w:val="0"/>
        <w:keepLines w:val="0"/>
        <w:pageBreakBefore w:val="0"/>
        <w:numPr>
          <w:ilvl w:val="0"/>
          <w:numId w:val="5"/>
        </w:numPr>
        <w:kinsoku/>
        <w:wordWrap/>
        <w:overflowPunct/>
        <w:topLinePunct w:val="0"/>
        <w:bidi w:val="0"/>
        <w:spacing w:before="0" w:beforeLines="0" w:after="0" w:afterLines="0" w:line="390" w:lineRule="exact"/>
        <w:ind w:firstLine="480" w:firstLineChars="200"/>
        <w:jc w:val="both"/>
        <w:textAlignment w:val="auto"/>
        <w:rPr>
          <w:rFonts w:hint="eastAsia" w:asciiTheme="majorEastAsia" w:hAnsiTheme="majorEastAsia" w:eastAsiaTheme="majorEastAsia" w:cstheme="majorEastAsia"/>
          <w:b w:val="0"/>
          <w:bCs w:val="0"/>
          <w:color w:val="auto"/>
          <w:kern w:val="2"/>
          <w:sz w:val="24"/>
          <w:szCs w:val="24"/>
          <w:highlight w:val="none"/>
          <w:lang w:val="en-US" w:eastAsia="zh-CN" w:bidi="ar-SA"/>
        </w:rPr>
      </w:pPr>
      <w:r>
        <w:rPr>
          <w:rFonts w:hint="eastAsia" w:asciiTheme="majorEastAsia" w:hAnsiTheme="majorEastAsia" w:eastAsiaTheme="majorEastAsia" w:cstheme="majorEastAsia"/>
          <w:b w:val="0"/>
          <w:bCs w:val="0"/>
          <w:color w:val="auto"/>
          <w:kern w:val="2"/>
          <w:sz w:val="24"/>
          <w:szCs w:val="24"/>
          <w:highlight w:val="none"/>
          <w:lang w:val="en-US" w:eastAsia="zh-CN" w:bidi="ar-SA"/>
        </w:rPr>
        <w:t>塑胶渔排以及网箱检测标准：塑胶走道板主要参数检测标准应符合《GB/T 13663.2-2018》国家标准，拉伸强度≥20Mpa，氧化诱导时间≥20min，断裂伸长率≥350%，塑胶浮球检测参照《GB/T 13508-2011聚乙烯吹塑容器》的国家标准进行检测。网箱浮力管采用《GB/T 1040.2-2006塑料拉伸性能的检测》来检测，拉伸强度≥20Mpa，氧化诱导时间≥20min，断裂伸长率≥350%。</w:t>
      </w:r>
    </w:p>
    <w:p>
      <w:pPr>
        <w:keepNext w:val="0"/>
        <w:keepLines w:val="0"/>
        <w:pageBreakBefore w:val="0"/>
        <w:numPr>
          <w:ilvl w:val="0"/>
          <w:numId w:val="5"/>
        </w:numPr>
        <w:kinsoku/>
        <w:wordWrap/>
        <w:overflowPunct/>
        <w:topLinePunct w:val="0"/>
        <w:bidi w:val="0"/>
        <w:spacing w:line="390" w:lineRule="exact"/>
        <w:ind w:left="0" w:leftChars="0" w:firstLine="480" w:firstLineChars="200"/>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产品溯源</w:t>
      </w:r>
    </w:p>
    <w:p>
      <w:pPr>
        <w:keepNext w:val="0"/>
        <w:keepLines w:val="0"/>
        <w:pageBreakBefore w:val="0"/>
        <w:widowControl w:val="0"/>
        <w:kinsoku/>
        <w:wordWrap/>
        <w:overflowPunct/>
        <w:topLinePunct w:val="0"/>
        <w:autoSpaceDE/>
        <w:autoSpaceDN/>
        <w:bidi w:val="0"/>
        <w:adjustRightInd/>
        <w:snapToGrid/>
        <w:spacing w:line="390" w:lineRule="exact"/>
        <w:ind w:left="0" w:leftChars="0" w:firstLine="480" w:firstLineChars="200"/>
        <w:textAlignment w:val="auto"/>
        <w:rPr>
          <w:rFonts w:hint="default"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在主框架及浮球明显位置标注购买单位名称、出厂日期及使用期限，格式为购买单位名称+出厂日期+使用期限。</w:t>
      </w:r>
    </w:p>
    <w:p>
      <w:pPr>
        <w:keepNext w:val="0"/>
        <w:keepLines w:val="0"/>
        <w:pageBreakBefore w:val="0"/>
        <w:widowControl w:val="0"/>
        <w:kinsoku/>
        <w:wordWrap/>
        <w:overflowPunct/>
        <w:topLinePunct w:val="0"/>
        <w:autoSpaceDE/>
        <w:autoSpaceDN/>
        <w:bidi w:val="0"/>
        <w:adjustRightInd/>
        <w:snapToGrid/>
        <w:spacing w:line="390" w:lineRule="exact"/>
        <w:ind w:left="0" w:leftChars="0" w:firstLine="480" w:firstLineChars="200"/>
        <w:textAlignment w:val="auto"/>
        <w:rPr>
          <w:rFonts w:hint="eastAsia" w:asciiTheme="majorEastAsia" w:hAnsiTheme="majorEastAsia" w:eastAsiaTheme="majorEastAsia" w:cstheme="majorEastAsia"/>
          <w:b w:val="0"/>
          <w:bCs/>
          <w:color w:val="auto"/>
          <w:kern w:val="2"/>
          <w:sz w:val="24"/>
          <w:szCs w:val="24"/>
          <w:highlight w:val="none"/>
          <w:lang w:val="en-US" w:eastAsia="zh-CN" w:bidi="ar-SA"/>
        </w:rPr>
      </w:pPr>
      <w:r>
        <w:rPr>
          <w:rFonts w:hint="eastAsia" w:asciiTheme="majorEastAsia" w:hAnsiTheme="majorEastAsia" w:eastAsiaTheme="majorEastAsia" w:cstheme="majorEastAsia"/>
          <w:b w:val="0"/>
          <w:bCs/>
          <w:color w:val="auto"/>
          <w:kern w:val="2"/>
          <w:sz w:val="24"/>
          <w:szCs w:val="24"/>
          <w:highlight w:val="none"/>
          <w:lang w:val="en-US" w:eastAsia="zh-CN" w:bidi="ar-SA"/>
        </w:rPr>
        <w:t>（六）抗台风要求</w:t>
      </w:r>
    </w:p>
    <w:p>
      <w:pPr>
        <w:keepNext w:val="0"/>
        <w:keepLines w:val="0"/>
        <w:pageBreakBefore w:val="0"/>
        <w:widowControl w:val="0"/>
        <w:kinsoku/>
        <w:wordWrap/>
        <w:overflowPunct/>
        <w:topLinePunct w:val="0"/>
        <w:autoSpaceDE/>
        <w:autoSpaceDN/>
        <w:bidi w:val="0"/>
        <w:adjustRightInd/>
        <w:snapToGrid/>
        <w:spacing w:line="390" w:lineRule="exact"/>
        <w:ind w:left="0" w:leftChars="0" w:firstLine="480" w:firstLineChars="200"/>
        <w:textAlignment w:val="auto"/>
        <w:rPr>
          <w:rFonts w:hint="eastAsia" w:asciiTheme="majorEastAsia" w:hAnsiTheme="majorEastAsia" w:eastAsiaTheme="majorEastAsia" w:cstheme="majorEastAsia"/>
          <w:color w:val="auto"/>
          <w:sz w:val="24"/>
          <w:szCs w:val="24"/>
          <w:highlight w:val="none"/>
          <w:u w:val="single"/>
          <w:lang w:val="en-US" w:eastAsia="zh-CN"/>
        </w:rPr>
      </w:pPr>
      <w:r>
        <w:rPr>
          <w:rFonts w:hint="eastAsia" w:asciiTheme="majorEastAsia" w:hAnsiTheme="majorEastAsia" w:eastAsiaTheme="majorEastAsia" w:cstheme="majorEastAsia"/>
          <w:color w:val="auto"/>
          <w:sz w:val="24"/>
          <w:szCs w:val="24"/>
          <w:highlight w:val="none"/>
          <w:lang w:eastAsia="zh-CN"/>
        </w:rPr>
        <w:t>★本项目的抗台风风力设计不小于12级，若风力不超过</w:t>
      </w:r>
      <w:r>
        <w:rPr>
          <w:rFonts w:hint="eastAsia" w:asciiTheme="majorEastAsia" w:hAnsiTheme="majorEastAsia" w:eastAsiaTheme="majorEastAsia" w:cstheme="majorEastAsia"/>
          <w:color w:val="auto"/>
          <w:sz w:val="24"/>
          <w:szCs w:val="24"/>
          <w:highlight w:val="none"/>
          <w:lang w:val="en-US" w:eastAsia="zh-CN"/>
        </w:rPr>
        <w:t>12级，因大风造成的损失由中标单位负责。</w:t>
      </w:r>
      <w:r>
        <w:rPr>
          <w:rFonts w:hint="eastAsia" w:asciiTheme="majorEastAsia" w:hAnsiTheme="majorEastAsia" w:eastAsiaTheme="majorEastAsia" w:cstheme="majorEastAsia"/>
          <w:color w:val="auto"/>
          <w:sz w:val="24"/>
          <w:szCs w:val="24"/>
          <w:highlight w:val="none"/>
          <w:u w:val="single"/>
          <w:lang w:val="en-US" w:eastAsia="zh-CN"/>
        </w:rPr>
        <w:t>中标单位须提供承诺函。</w:t>
      </w:r>
    </w:p>
    <w:p>
      <w:pPr>
        <w:pStyle w:val="2"/>
        <w:numPr>
          <w:ilvl w:val="0"/>
          <w:numId w:val="0"/>
        </w:numPr>
        <w:jc w:val="both"/>
        <w:rPr>
          <w:rFonts w:hint="eastAsia" w:ascii="宋体" w:hAnsi="宋体" w:eastAsia="宋体" w:cs="Times New Roman"/>
          <w:b/>
          <w:bCs/>
          <w:color w:val="auto"/>
          <w:kern w:val="2"/>
          <w:sz w:val="24"/>
          <w:szCs w:val="24"/>
          <w:highlight w:val="none"/>
          <w:lang w:val="en-US" w:eastAsia="zh-CN" w:bidi="ar-SA"/>
        </w:rPr>
      </w:pPr>
    </w:p>
    <w:p>
      <w:pPr>
        <w:pStyle w:val="2"/>
        <w:numPr>
          <w:ilvl w:val="0"/>
          <w:numId w:val="0"/>
        </w:numPr>
        <w:jc w:val="both"/>
        <w:rPr>
          <w:rFonts w:hint="eastAsia" w:ascii="宋体" w:hAnsi="宋体" w:eastAsia="宋体" w:cs="Times New Roman"/>
          <w:b/>
          <w:bCs/>
          <w:color w:val="auto"/>
          <w:kern w:val="2"/>
          <w:sz w:val="24"/>
          <w:szCs w:val="24"/>
          <w:highlight w:val="none"/>
          <w:lang w:val="en-US" w:eastAsia="zh-CN" w:bidi="ar-SA"/>
        </w:rPr>
      </w:pPr>
      <w:r>
        <w:rPr>
          <w:rFonts w:hint="eastAsia" w:ascii="宋体" w:hAnsi="宋体" w:eastAsia="宋体" w:cs="Times New Roman"/>
          <w:b/>
          <w:bCs/>
          <w:color w:val="auto"/>
          <w:kern w:val="2"/>
          <w:sz w:val="24"/>
          <w:szCs w:val="24"/>
          <w:highlight w:val="none"/>
          <w:lang w:val="en-US" w:eastAsia="zh-CN" w:bidi="ar-SA"/>
        </w:rPr>
        <w:t>（</w:t>
      </w:r>
      <w:r>
        <w:rPr>
          <w:rFonts w:hint="eastAsia" w:ascii="宋体" w:hAnsi="宋体" w:cs="Times New Roman"/>
          <w:b/>
          <w:bCs/>
          <w:color w:val="auto"/>
          <w:kern w:val="2"/>
          <w:sz w:val="24"/>
          <w:szCs w:val="24"/>
          <w:highlight w:val="none"/>
          <w:lang w:val="en-US" w:eastAsia="zh-CN" w:bidi="ar-SA"/>
        </w:rPr>
        <w:t>七</w:t>
      </w:r>
      <w:r>
        <w:rPr>
          <w:rFonts w:hint="eastAsia" w:ascii="宋体" w:hAnsi="宋体" w:eastAsia="宋体" w:cs="Times New Roman"/>
          <w:b/>
          <w:bCs/>
          <w:color w:val="auto"/>
          <w:kern w:val="2"/>
          <w:sz w:val="24"/>
          <w:szCs w:val="24"/>
          <w:highlight w:val="none"/>
          <w:lang w:val="en-US" w:eastAsia="zh-CN" w:bidi="ar-SA"/>
        </w:rPr>
        <w:t>）投标样品要求</w:t>
      </w:r>
    </w:p>
    <w:p>
      <w:pPr>
        <w:pStyle w:val="18"/>
        <w:widowControl/>
        <w:spacing w:line="400" w:lineRule="exact"/>
        <w:ind w:firstLine="720" w:firstLineChars="300"/>
        <w:rPr>
          <w:rFonts w:hint="eastAsia" w:ascii="宋体" w:hAnsi="宋体" w:eastAsia="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、样品明细</w:t>
      </w:r>
    </w:p>
    <w:tbl>
      <w:tblPr>
        <w:tblStyle w:val="21"/>
        <w:tblW w:w="0" w:type="auto"/>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570"/>
        <w:gridCol w:w="1381"/>
        <w:gridCol w:w="2587"/>
        <w:gridCol w:w="3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5" w:hRule="atLeast"/>
          <w:tblCellSpacing w:w="15" w:type="dxa"/>
        </w:trPr>
        <w:tc>
          <w:tcPr>
            <w:tcW w:w="525" w:type="dxa"/>
            <w:shd w:val="clear" w:color="auto" w:fill="auto"/>
            <w:tcMar>
              <w:top w:w="0" w:type="dxa"/>
              <w:left w:w="105" w:type="dxa"/>
              <w:bottom w:w="0" w:type="dxa"/>
              <w:right w:w="105" w:type="dxa"/>
            </w:tcMar>
            <w:vAlign w:val="center"/>
          </w:tcPr>
          <w:p>
            <w:pPr>
              <w:pStyle w:val="18"/>
              <w:widowControl/>
              <w:spacing w:line="400" w:lineRule="exact"/>
              <w:jc w:val="center"/>
              <w:rPr>
                <w:rFonts w:hint="eastAsia" w:ascii="宋体" w:hAnsi="宋体" w:eastAsia="宋体" w:cs="Times New Roman"/>
                <w:b/>
                <w:bCs/>
                <w:color w:val="auto"/>
                <w:kern w:val="2"/>
                <w:sz w:val="24"/>
                <w:szCs w:val="24"/>
                <w:highlight w:val="none"/>
                <w:lang w:val="en-US" w:eastAsia="zh-CN" w:bidi="ar-SA"/>
              </w:rPr>
            </w:pPr>
            <w:r>
              <w:rPr>
                <w:rFonts w:hint="eastAsia" w:ascii="宋体" w:hAnsi="宋体" w:cs="Times New Roman"/>
                <w:b/>
                <w:bCs/>
                <w:color w:val="auto"/>
                <w:kern w:val="2"/>
                <w:sz w:val="24"/>
                <w:szCs w:val="24"/>
                <w:highlight w:val="none"/>
                <w:lang w:val="en-US" w:eastAsia="zh-CN" w:bidi="ar-SA"/>
              </w:rPr>
              <w:t>序号</w:t>
            </w:r>
          </w:p>
        </w:tc>
        <w:tc>
          <w:tcPr>
            <w:tcW w:w="1351" w:type="dxa"/>
            <w:shd w:val="clear" w:color="auto" w:fill="auto"/>
            <w:tcMar>
              <w:top w:w="0" w:type="dxa"/>
              <w:left w:w="105" w:type="dxa"/>
              <w:bottom w:w="0" w:type="dxa"/>
              <w:right w:w="105" w:type="dxa"/>
            </w:tcMar>
            <w:vAlign w:val="center"/>
          </w:tcPr>
          <w:p>
            <w:pPr>
              <w:pStyle w:val="18"/>
              <w:widowControl/>
              <w:spacing w:line="400" w:lineRule="exact"/>
              <w:jc w:val="center"/>
              <w:rPr>
                <w:rFonts w:hint="eastAsia" w:ascii="宋体" w:hAnsi="宋体" w:eastAsia="宋体" w:cs="Times New Roman"/>
                <w:b/>
                <w:bCs/>
                <w:color w:val="auto"/>
                <w:kern w:val="2"/>
                <w:sz w:val="24"/>
                <w:szCs w:val="24"/>
                <w:highlight w:val="none"/>
                <w:lang w:val="en-US" w:eastAsia="zh-CN" w:bidi="ar-SA"/>
              </w:rPr>
            </w:pPr>
            <w:r>
              <w:rPr>
                <w:rFonts w:hint="eastAsia" w:ascii="宋体" w:hAnsi="宋体" w:eastAsia="宋体" w:cs="Times New Roman"/>
                <w:b/>
                <w:bCs/>
                <w:color w:val="auto"/>
                <w:kern w:val="2"/>
                <w:sz w:val="24"/>
                <w:szCs w:val="24"/>
                <w:highlight w:val="none"/>
                <w:lang w:val="en-US" w:eastAsia="zh-CN" w:bidi="ar-SA"/>
              </w:rPr>
              <w:t>样品名称</w:t>
            </w:r>
          </w:p>
        </w:tc>
        <w:tc>
          <w:tcPr>
            <w:tcW w:w="2557" w:type="dxa"/>
            <w:shd w:val="clear" w:color="auto" w:fill="auto"/>
            <w:vAlign w:val="center"/>
          </w:tcPr>
          <w:p>
            <w:pPr>
              <w:pStyle w:val="18"/>
              <w:widowControl/>
              <w:spacing w:line="400" w:lineRule="exact"/>
              <w:jc w:val="center"/>
              <w:rPr>
                <w:rFonts w:hint="eastAsia" w:ascii="宋体" w:hAnsi="宋体" w:eastAsia="宋体" w:cs="Times New Roman"/>
                <w:b/>
                <w:bCs/>
                <w:color w:val="auto"/>
                <w:kern w:val="2"/>
                <w:sz w:val="24"/>
                <w:szCs w:val="24"/>
                <w:highlight w:val="none"/>
                <w:lang w:val="en-US" w:eastAsia="zh-CN" w:bidi="ar-SA"/>
              </w:rPr>
            </w:pPr>
            <w:r>
              <w:rPr>
                <w:rFonts w:hint="eastAsia" w:ascii="宋体" w:hAnsi="宋体" w:eastAsia="宋体" w:cs="Times New Roman"/>
                <w:b/>
                <w:bCs/>
                <w:color w:val="auto"/>
                <w:kern w:val="2"/>
                <w:sz w:val="24"/>
                <w:szCs w:val="24"/>
                <w:highlight w:val="none"/>
                <w:lang w:val="en-US" w:eastAsia="zh-CN" w:bidi="ar-SA"/>
              </w:rPr>
              <w:t>样品数量及要求</w:t>
            </w:r>
          </w:p>
        </w:tc>
        <w:tc>
          <w:tcPr>
            <w:tcW w:w="3938" w:type="dxa"/>
            <w:shd w:val="clear" w:color="auto" w:fill="auto"/>
            <w:vAlign w:val="center"/>
          </w:tcPr>
          <w:p>
            <w:pPr>
              <w:pStyle w:val="18"/>
              <w:widowControl/>
              <w:spacing w:line="400" w:lineRule="exact"/>
              <w:jc w:val="center"/>
              <w:rPr>
                <w:rFonts w:hint="eastAsia" w:ascii="宋体" w:hAnsi="宋体" w:eastAsia="宋体" w:cs="Times New Roman"/>
                <w:b/>
                <w:bCs/>
                <w:color w:val="auto"/>
                <w:kern w:val="2"/>
                <w:sz w:val="24"/>
                <w:szCs w:val="24"/>
                <w:highlight w:val="none"/>
                <w:lang w:val="en-US" w:eastAsia="zh-CN" w:bidi="ar-SA"/>
              </w:rPr>
            </w:pPr>
            <w:r>
              <w:rPr>
                <w:rFonts w:hint="eastAsia" w:ascii="宋体" w:hAnsi="宋体" w:cs="Times New Roman"/>
                <w:b/>
                <w:bCs/>
                <w:color w:val="auto"/>
                <w:kern w:val="2"/>
                <w:sz w:val="24"/>
                <w:szCs w:val="24"/>
                <w:highlight w:val="none"/>
                <w:lang w:val="en-US" w:eastAsia="zh-CN" w:bidi="ar-SA"/>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tblCellSpacing w:w="15" w:type="dxa"/>
        </w:trPr>
        <w:tc>
          <w:tcPr>
            <w:tcW w:w="525" w:type="dxa"/>
            <w:shd w:val="clear" w:color="auto" w:fill="auto"/>
            <w:tcMar>
              <w:top w:w="0" w:type="dxa"/>
              <w:left w:w="105" w:type="dxa"/>
              <w:bottom w:w="0" w:type="dxa"/>
              <w:right w:w="105" w:type="dxa"/>
            </w:tcMar>
            <w:vAlign w:val="center"/>
          </w:tcPr>
          <w:p>
            <w:pPr>
              <w:pStyle w:val="18"/>
              <w:widowControl/>
              <w:spacing w:line="400" w:lineRule="exact"/>
              <w:jc w:val="center"/>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1</w:t>
            </w:r>
          </w:p>
        </w:tc>
        <w:tc>
          <w:tcPr>
            <w:tcW w:w="1351" w:type="dxa"/>
            <w:shd w:val="clear" w:color="auto" w:fill="auto"/>
            <w:tcMar>
              <w:top w:w="0" w:type="dxa"/>
              <w:left w:w="105" w:type="dxa"/>
              <w:bottom w:w="0" w:type="dxa"/>
              <w:right w:w="105" w:type="dxa"/>
            </w:tcMar>
            <w:vAlign w:val="center"/>
          </w:tcPr>
          <w:p>
            <w:pPr>
              <w:pStyle w:val="18"/>
              <w:widowControl/>
              <w:spacing w:line="400" w:lineRule="exact"/>
              <w:jc w:val="both"/>
              <w:rPr>
                <w:rFonts w:hint="eastAsia" w:ascii="宋体" w:hAnsi="宋体" w:eastAsia="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全塑胶养殖渔排</w:t>
            </w:r>
          </w:p>
        </w:tc>
        <w:tc>
          <w:tcPr>
            <w:tcW w:w="2557" w:type="dxa"/>
            <w:shd w:val="clear" w:color="auto" w:fill="auto"/>
            <w:vAlign w:val="center"/>
          </w:tcPr>
          <w:p>
            <w:pPr>
              <w:pStyle w:val="18"/>
              <w:widowControl/>
              <w:spacing w:line="400" w:lineRule="exact"/>
              <w:jc w:val="both"/>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走道板1段，长度不小于50cm</w:t>
            </w:r>
          </w:p>
        </w:tc>
        <w:tc>
          <w:tcPr>
            <w:tcW w:w="3938" w:type="dxa"/>
            <w:shd w:val="clear" w:color="auto" w:fill="auto"/>
            <w:vAlign w:val="center"/>
          </w:tcPr>
          <w:p>
            <w:pPr>
              <w:pStyle w:val="18"/>
              <w:keepNext w:val="0"/>
              <w:keepLines w:val="0"/>
              <w:pageBreakBefore w:val="0"/>
              <w:widowControl/>
              <w:suppressLineNumbers w:val="0"/>
              <w:kinsoku/>
              <w:wordWrap/>
              <w:overflowPunct/>
              <w:topLinePunct w:val="0"/>
              <w:autoSpaceDE w:val="0"/>
              <w:autoSpaceDN/>
              <w:bidi w:val="0"/>
              <w:adjustRightInd/>
              <w:snapToGrid/>
              <w:spacing w:line="440" w:lineRule="exac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cs="Times New Roman"/>
                <w:color w:val="auto"/>
                <w:kern w:val="2"/>
                <w:sz w:val="24"/>
                <w:szCs w:val="24"/>
                <w:highlight w:val="none"/>
                <w:lang w:val="en-US" w:eastAsia="zh-CN" w:bidi="ar-SA"/>
              </w:rPr>
              <w:t>提供</w:t>
            </w:r>
            <w:r>
              <w:rPr>
                <w:rFonts w:hint="eastAsia" w:ascii="宋体" w:hAnsi="宋体" w:eastAsia="宋体" w:cs="Times New Roman"/>
                <w:color w:val="auto"/>
                <w:kern w:val="2"/>
                <w:sz w:val="24"/>
                <w:szCs w:val="24"/>
                <w:highlight w:val="none"/>
                <w:lang w:val="en-US" w:eastAsia="zh-CN" w:bidi="ar-SA"/>
              </w:rPr>
              <w:t>塑胶渔排网箱</w:t>
            </w:r>
            <w:r>
              <w:rPr>
                <w:rFonts w:hint="eastAsia" w:ascii="宋体" w:hAnsi="宋体" w:cs="宋体"/>
                <w:color w:val="auto"/>
                <w:sz w:val="24"/>
                <w:szCs w:val="24"/>
                <w:highlight w:val="none"/>
                <w:lang w:eastAsia="zh-CN"/>
              </w:rPr>
              <w:t>通过</w:t>
            </w:r>
            <w:r>
              <w:rPr>
                <w:rStyle w:val="25"/>
                <w:rFonts w:hint="eastAsia" w:asciiTheme="majorEastAsia" w:hAnsiTheme="majorEastAsia" w:eastAsiaTheme="majorEastAsia" w:cstheme="majorEastAsia"/>
                <w:b w:val="0"/>
                <w:bCs/>
                <w:color w:val="auto"/>
                <w:sz w:val="24"/>
                <w:highlight w:val="none"/>
              </w:rPr>
              <w:t>技术监督部门</w:t>
            </w:r>
            <w:r>
              <w:rPr>
                <w:rFonts w:hint="eastAsia" w:ascii="宋体" w:hAnsi="宋体" w:eastAsia="宋体" w:cs="宋体"/>
                <w:color w:val="auto"/>
                <w:sz w:val="24"/>
                <w:szCs w:val="24"/>
                <w:highlight w:val="none"/>
              </w:rPr>
              <w:t>检测</w:t>
            </w:r>
            <w:r>
              <w:rPr>
                <w:rFonts w:hint="eastAsia" w:ascii="宋体" w:hAnsi="宋体" w:cs="Times New Roman"/>
                <w:color w:val="auto"/>
                <w:kern w:val="2"/>
                <w:sz w:val="24"/>
                <w:szCs w:val="24"/>
                <w:highlight w:val="none"/>
                <w:lang w:val="en-US" w:eastAsia="zh-CN" w:bidi="ar-SA"/>
              </w:rPr>
              <w:t>的检测报告，</w:t>
            </w:r>
            <w:r>
              <w:rPr>
                <w:rFonts w:hint="eastAsia" w:ascii="宋体" w:hAnsi="宋体" w:eastAsia="宋体" w:cs="宋体"/>
                <w:color w:val="auto"/>
                <w:sz w:val="24"/>
                <w:szCs w:val="24"/>
                <w:highlight w:val="none"/>
              </w:rPr>
              <w:t>检测报告</w:t>
            </w:r>
            <w:r>
              <w:rPr>
                <w:rFonts w:hint="eastAsia" w:ascii="宋体" w:hAnsi="宋体" w:cs="Times New Roman"/>
                <w:color w:val="auto"/>
                <w:kern w:val="2"/>
                <w:sz w:val="24"/>
                <w:szCs w:val="24"/>
                <w:highlight w:val="none"/>
                <w:lang w:val="en-US" w:eastAsia="zh-CN" w:bidi="ar-SA"/>
              </w:rPr>
              <w:t>须包含</w:t>
            </w:r>
            <w:r>
              <w:rPr>
                <w:rFonts w:ascii="宋体" w:hAnsi="宋体" w:eastAsia="宋体" w:cs="宋体"/>
                <w:color w:val="auto"/>
                <w:kern w:val="0"/>
                <w:sz w:val="24"/>
                <w:szCs w:val="24"/>
                <w:highlight w:val="none"/>
                <w:lang w:val="en-US" w:eastAsia="zh-CN" w:bidi="ar"/>
              </w:rPr>
              <w:t>材质</w:t>
            </w:r>
            <w:r>
              <w:rPr>
                <w:rFonts w:hint="eastAsia" w:ascii="宋体" w:hAnsi="宋体" w:eastAsia="宋体" w:cs="宋体"/>
                <w:color w:val="auto"/>
                <w:kern w:val="0"/>
                <w:sz w:val="24"/>
                <w:szCs w:val="24"/>
                <w:highlight w:val="none"/>
                <w:lang w:val="en-US" w:eastAsia="zh-CN" w:bidi="ar"/>
              </w:rPr>
              <w:t>、宽度、</w:t>
            </w:r>
            <w:r>
              <w:rPr>
                <w:rFonts w:ascii="宋体" w:hAnsi="宋体" w:eastAsia="宋体" w:cs="宋体"/>
                <w:color w:val="auto"/>
                <w:kern w:val="0"/>
                <w:sz w:val="24"/>
                <w:szCs w:val="24"/>
                <w:highlight w:val="none"/>
                <w:lang w:val="en-US" w:eastAsia="zh-CN" w:bidi="ar"/>
              </w:rPr>
              <w:t>厚度</w:t>
            </w:r>
            <w:r>
              <w:rPr>
                <w:rFonts w:hint="eastAsia" w:ascii="宋体" w:hAnsi="宋体" w:eastAsia="宋体" w:cs="宋体"/>
                <w:color w:val="auto"/>
                <w:kern w:val="0"/>
                <w:sz w:val="24"/>
                <w:szCs w:val="24"/>
                <w:highlight w:val="none"/>
                <w:lang w:val="en-US" w:eastAsia="zh-CN" w:bidi="ar"/>
              </w:rPr>
              <w:t>、壁厚、重量</w:t>
            </w:r>
            <w:r>
              <w:rPr>
                <w:rFonts w:hint="eastAsia" w:ascii="宋体" w:hAnsi="宋体" w:eastAsia="宋体" w:cs="宋体"/>
                <w:color w:val="auto"/>
                <w:sz w:val="24"/>
                <w:szCs w:val="24"/>
                <w:highlight w:val="none"/>
              </w:rPr>
              <w:t>等性能，所有性能均应合格。报告复印件加盖</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公章</w:t>
            </w:r>
            <w:r>
              <w:rPr>
                <w:rStyle w:val="25"/>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0" w:hRule="atLeast"/>
          <w:tblCellSpacing w:w="15" w:type="dxa"/>
        </w:trPr>
        <w:tc>
          <w:tcPr>
            <w:tcW w:w="525" w:type="dxa"/>
            <w:shd w:val="clear" w:color="auto" w:fill="auto"/>
            <w:tcMar>
              <w:top w:w="0" w:type="dxa"/>
              <w:left w:w="105" w:type="dxa"/>
              <w:bottom w:w="0" w:type="dxa"/>
              <w:right w:w="105" w:type="dxa"/>
            </w:tcMar>
            <w:vAlign w:val="center"/>
          </w:tcPr>
          <w:p>
            <w:pPr>
              <w:pStyle w:val="18"/>
              <w:widowControl/>
              <w:spacing w:line="400" w:lineRule="exact"/>
              <w:jc w:val="center"/>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2</w:t>
            </w:r>
          </w:p>
        </w:tc>
        <w:tc>
          <w:tcPr>
            <w:tcW w:w="1351" w:type="dxa"/>
            <w:shd w:val="clear" w:color="auto" w:fill="auto"/>
            <w:tcMar>
              <w:top w:w="0" w:type="dxa"/>
              <w:left w:w="105" w:type="dxa"/>
              <w:bottom w:w="0" w:type="dxa"/>
              <w:right w:w="105" w:type="dxa"/>
            </w:tcMar>
            <w:vAlign w:val="center"/>
          </w:tcPr>
          <w:p>
            <w:pPr>
              <w:pStyle w:val="18"/>
              <w:widowControl/>
              <w:spacing w:line="400" w:lineRule="exact"/>
              <w:jc w:val="both"/>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塑胶浮球</w:t>
            </w:r>
          </w:p>
        </w:tc>
        <w:tc>
          <w:tcPr>
            <w:tcW w:w="2557" w:type="dxa"/>
            <w:shd w:val="clear" w:color="auto" w:fill="auto"/>
            <w:vAlign w:val="center"/>
          </w:tcPr>
          <w:p>
            <w:pPr>
              <w:pStyle w:val="18"/>
              <w:widowControl/>
              <w:spacing w:line="400" w:lineRule="exact"/>
              <w:jc w:val="both"/>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整球1粒；沿产品中线剖开，提供1件（半粒）</w:t>
            </w:r>
          </w:p>
        </w:tc>
        <w:tc>
          <w:tcPr>
            <w:tcW w:w="3938" w:type="dxa"/>
            <w:shd w:val="clear" w:color="auto" w:fill="auto"/>
            <w:vAlign w:val="center"/>
          </w:tcPr>
          <w:p>
            <w:pPr>
              <w:pStyle w:val="18"/>
              <w:keepNext w:val="0"/>
              <w:keepLines w:val="0"/>
              <w:pageBreakBefore w:val="0"/>
              <w:widowControl/>
              <w:kinsoku/>
              <w:wordWrap/>
              <w:overflowPunct/>
              <w:topLinePunct w:val="0"/>
              <w:autoSpaceDE w:val="0"/>
              <w:autoSpaceDN/>
              <w:bidi w:val="0"/>
              <w:adjustRightInd/>
              <w:snapToGrid/>
              <w:spacing w:line="440" w:lineRule="exact"/>
              <w:jc w:val="both"/>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提供</w:t>
            </w:r>
            <w:r>
              <w:rPr>
                <w:rFonts w:hint="eastAsia" w:ascii="宋体" w:hAnsi="宋体" w:eastAsia="宋体" w:cs="Times New Roman"/>
                <w:color w:val="auto"/>
                <w:kern w:val="2"/>
                <w:sz w:val="24"/>
                <w:szCs w:val="24"/>
                <w:highlight w:val="none"/>
                <w:lang w:val="en-US" w:eastAsia="zh-CN" w:bidi="ar-SA"/>
              </w:rPr>
              <w:t>塑胶浮球</w:t>
            </w:r>
            <w:r>
              <w:rPr>
                <w:rFonts w:hint="eastAsia" w:ascii="宋体" w:hAnsi="宋体" w:cs="宋体"/>
                <w:color w:val="auto"/>
                <w:sz w:val="24"/>
                <w:szCs w:val="24"/>
                <w:highlight w:val="none"/>
                <w:lang w:eastAsia="zh-CN"/>
              </w:rPr>
              <w:t>通过</w:t>
            </w:r>
            <w:r>
              <w:rPr>
                <w:rStyle w:val="25"/>
                <w:rFonts w:hint="eastAsia" w:asciiTheme="majorEastAsia" w:hAnsiTheme="majorEastAsia" w:eastAsiaTheme="majorEastAsia" w:cstheme="majorEastAsia"/>
                <w:b w:val="0"/>
                <w:bCs/>
                <w:color w:val="auto"/>
                <w:sz w:val="24"/>
                <w:highlight w:val="none"/>
              </w:rPr>
              <w:t>技术监督部门</w:t>
            </w:r>
            <w:r>
              <w:rPr>
                <w:rFonts w:hint="eastAsia" w:ascii="宋体" w:hAnsi="宋体" w:cs="Times New Roman"/>
                <w:color w:val="auto"/>
                <w:kern w:val="2"/>
                <w:sz w:val="24"/>
                <w:szCs w:val="24"/>
                <w:highlight w:val="none"/>
                <w:lang w:val="en-US" w:eastAsia="zh-CN" w:bidi="ar-SA"/>
              </w:rPr>
              <w:t>的检测报告，</w:t>
            </w:r>
            <w:r>
              <w:rPr>
                <w:rFonts w:hint="eastAsia" w:ascii="宋体" w:hAnsi="宋体" w:eastAsia="宋体" w:cs="宋体"/>
                <w:color w:val="auto"/>
                <w:sz w:val="24"/>
                <w:szCs w:val="24"/>
                <w:highlight w:val="none"/>
              </w:rPr>
              <w:t>检测报告</w:t>
            </w:r>
            <w:r>
              <w:rPr>
                <w:rFonts w:hint="eastAsia" w:ascii="宋体" w:hAnsi="宋体" w:cs="Times New Roman"/>
                <w:color w:val="auto"/>
                <w:kern w:val="2"/>
                <w:sz w:val="24"/>
                <w:szCs w:val="24"/>
                <w:highlight w:val="none"/>
                <w:lang w:val="en-US" w:eastAsia="zh-CN" w:bidi="ar-SA"/>
              </w:rPr>
              <w:t>须包含</w:t>
            </w:r>
            <w:r>
              <w:rPr>
                <w:rFonts w:ascii="宋体" w:hAnsi="宋体" w:eastAsia="宋体" w:cs="宋体"/>
                <w:color w:val="auto"/>
                <w:kern w:val="0"/>
                <w:sz w:val="24"/>
                <w:szCs w:val="24"/>
                <w:highlight w:val="none"/>
                <w:lang w:val="en-US" w:eastAsia="zh-CN" w:bidi="ar"/>
              </w:rPr>
              <w:t>材质</w:t>
            </w:r>
            <w:r>
              <w:rPr>
                <w:rFonts w:hint="eastAsia" w:ascii="宋体" w:hAnsi="宋体" w:eastAsia="宋体" w:cs="宋体"/>
                <w:color w:val="auto"/>
                <w:kern w:val="0"/>
                <w:sz w:val="24"/>
                <w:szCs w:val="24"/>
                <w:highlight w:val="none"/>
                <w:lang w:val="en-US" w:eastAsia="zh-CN" w:bidi="ar"/>
              </w:rPr>
              <w:t>、</w:t>
            </w:r>
            <w:r>
              <w:rPr>
                <w:rFonts w:hint="eastAsia" w:ascii="宋体" w:hAnsi="宋体" w:cs="宋体"/>
                <w:color w:val="auto"/>
                <w:kern w:val="0"/>
                <w:sz w:val="24"/>
                <w:szCs w:val="24"/>
                <w:highlight w:val="none"/>
                <w:lang w:val="en-US" w:eastAsia="zh-CN" w:bidi="ar"/>
              </w:rPr>
              <w:t>直径、长度</w:t>
            </w:r>
            <w:r>
              <w:rPr>
                <w:rFonts w:hint="eastAsia" w:ascii="宋体" w:hAnsi="宋体" w:eastAsia="宋体" w:cs="宋体"/>
                <w:color w:val="auto"/>
                <w:kern w:val="0"/>
                <w:sz w:val="24"/>
                <w:szCs w:val="24"/>
                <w:highlight w:val="none"/>
                <w:lang w:val="en-US" w:eastAsia="zh-CN" w:bidi="ar"/>
              </w:rPr>
              <w:t>、壁厚、重量</w:t>
            </w:r>
            <w:r>
              <w:rPr>
                <w:rFonts w:hint="eastAsia" w:ascii="宋体" w:hAnsi="宋体" w:eastAsia="宋体" w:cs="宋体"/>
                <w:color w:val="auto"/>
                <w:sz w:val="24"/>
                <w:szCs w:val="24"/>
                <w:highlight w:val="none"/>
              </w:rPr>
              <w:t>等性能，所有性能均应合格。</w:t>
            </w:r>
            <w:r>
              <w:rPr>
                <w:rFonts w:hint="eastAsia" w:ascii="宋体" w:hAnsi="宋体" w:cs="宋体"/>
                <w:color w:val="auto"/>
                <w:sz w:val="24"/>
                <w:szCs w:val="24"/>
                <w:highlight w:val="none"/>
                <w:lang w:eastAsia="zh-CN"/>
              </w:rPr>
              <w:t>检测</w:t>
            </w:r>
            <w:r>
              <w:rPr>
                <w:rFonts w:hint="eastAsia" w:ascii="宋体" w:hAnsi="宋体" w:eastAsia="宋体" w:cs="宋体"/>
                <w:color w:val="auto"/>
                <w:sz w:val="24"/>
                <w:szCs w:val="24"/>
                <w:highlight w:val="none"/>
              </w:rPr>
              <w:t>报告复印件加盖</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公章</w:t>
            </w:r>
            <w:r>
              <w:rPr>
                <w:rStyle w:val="25"/>
                <w:rFonts w:hint="eastAsia" w:ascii="宋体" w:hAnsi="宋体" w:eastAsia="宋体" w:cs="宋体"/>
                <w:color w:val="auto"/>
                <w:sz w:val="24"/>
                <w:szCs w:val="24"/>
                <w:highlight w:val="none"/>
              </w:rPr>
              <w:t>。</w:t>
            </w:r>
          </w:p>
        </w:tc>
      </w:tr>
    </w:tbl>
    <w:p>
      <w:pPr>
        <w:pStyle w:val="18"/>
        <w:widowControl/>
        <w:spacing w:line="400" w:lineRule="exact"/>
        <w:ind w:firstLine="480" w:firstLineChars="20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2、送达要求:</w:t>
      </w:r>
      <w:r>
        <w:rPr>
          <w:rFonts w:hint="eastAsia" w:ascii="宋体" w:hAnsi="宋体" w:cs="Times New Roman"/>
          <w:color w:val="auto"/>
          <w:kern w:val="2"/>
          <w:sz w:val="24"/>
          <w:szCs w:val="24"/>
          <w:highlight w:val="none"/>
          <w:lang w:val="en-US" w:eastAsia="zh-CN" w:bidi="ar-SA"/>
        </w:rPr>
        <w:t>投标人</w:t>
      </w:r>
      <w:r>
        <w:rPr>
          <w:rFonts w:hint="eastAsia" w:ascii="宋体" w:hAnsi="宋体" w:eastAsia="宋体" w:cs="Times New Roman"/>
          <w:color w:val="auto"/>
          <w:kern w:val="2"/>
          <w:sz w:val="24"/>
          <w:szCs w:val="24"/>
          <w:highlight w:val="none"/>
          <w:lang w:val="en-US" w:eastAsia="zh-CN" w:bidi="ar-SA"/>
        </w:rPr>
        <w:t>应在</w:t>
      </w:r>
      <w:r>
        <w:rPr>
          <w:rFonts w:hint="eastAsia" w:ascii="宋体" w:hAnsi="宋体" w:cs="Times New Roman"/>
          <w:color w:val="auto"/>
          <w:kern w:val="2"/>
          <w:sz w:val="24"/>
          <w:szCs w:val="24"/>
          <w:highlight w:val="none"/>
          <w:lang w:val="en-US" w:eastAsia="zh-CN" w:bidi="ar-SA"/>
        </w:rPr>
        <w:t>中标后</w:t>
      </w:r>
      <w:r>
        <w:rPr>
          <w:rFonts w:hint="eastAsia" w:ascii="宋体" w:hAnsi="宋体" w:eastAsia="宋体" w:cs="Times New Roman"/>
          <w:color w:val="auto"/>
          <w:kern w:val="2"/>
          <w:sz w:val="24"/>
          <w:szCs w:val="24"/>
          <w:highlight w:val="none"/>
          <w:lang w:val="en-US" w:eastAsia="zh-CN" w:bidi="ar-SA"/>
        </w:rPr>
        <w:t>将样品装箱（袋）送达</w:t>
      </w:r>
      <w:r>
        <w:rPr>
          <w:rFonts w:hint="eastAsia" w:ascii="宋体" w:hAnsi="宋体" w:cs="Times New Roman"/>
          <w:color w:val="auto"/>
          <w:kern w:val="2"/>
          <w:sz w:val="24"/>
          <w:szCs w:val="24"/>
          <w:highlight w:val="none"/>
          <w:lang w:val="en-US" w:eastAsia="zh-CN" w:bidi="ar-SA"/>
        </w:rPr>
        <w:t>招标人指定地点</w:t>
      </w:r>
      <w:r>
        <w:rPr>
          <w:rFonts w:hint="eastAsia" w:ascii="宋体" w:hAnsi="宋体" w:eastAsia="宋体" w:cs="Times New Roman"/>
          <w:color w:val="auto"/>
          <w:kern w:val="2"/>
          <w:sz w:val="24"/>
          <w:szCs w:val="24"/>
          <w:highlight w:val="none"/>
          <w:lang w:val="en-US" w:eastAsia="zh-CN" w:bidi="ar-SA"/>
        </w:rPr>
        <w:t>。</w:t>
      </w:r>
    </w:p>
    <w:p>
      <w:pPr>
        <w:pStyle w:val="18"/>
        <w:widowControl/>
        <w:spacing w:line="400" w:lineRule="exact"/>
        <w:ind w:firstLine="480" w:firstLineChars="20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3、样品作为验收的依据，投标人</w:t>
      </w:r>
      <w:r>
        <w:rPr>
          <w:rFonts w:hint="eastAsia" w:ascii="宋体" w:hAnsi="宋体" w:cs="Times New Roman"/>
          <w:color w:val="auto"/>
          <w:kern w:val="2"/>
          <w:sz w:val="24"/>
          <w:szCs w:val="24"/>
          <w:highlight w:val="none"/>
          <w:lang w:val="en-US" w:eastAsia="zh-CN" w:bidi="ar-SA"/>
        </w:rPr>
        <w:t>须承诺中标后能按招标文件要求提供样品，若</w:t>
      </w:r>
      <w:r>
        <w:rPr>
          <w:rFonts w:hint="default" w:ascii="Calibri" w:hAnsi="Calibri" w:cs="Calibri"/>
          <w:color w:val="auto"/>
          <w:kern w:val="2"/>
          <w:sz w:val="21"/>
          <w:szCs w:val="21"/>
          <w:highlight w:val="none"/>
          <w:lang w:val="en-US" w:eastAsia="zh-CN" w:bidi="ar-SA"/>
        </w:rPr>
        <w:t>①</w:t>
      </w:r>
      <w:r>
        <w:rPr>
          <w:rFonts w:hint="eastAsia" w:ascii="宋体" w:hAnsi="宋体" w:cs="Times New Roman"/>
          <w:color w:val="auto"/>
          <w:kern w:val="2"/>
          <w:sz w:val="24"/>
          <w:szCs w:val="24"/>
          <w:highlight w:val="none"/>
          <w:lang w:val="en-US" w:eastAsia="zh-CN" w:bidi="ar-SA"/>
        </w:rPr>
        <w:t>未能</w:t>
      </w:r>
      <w:r>
        <w:rPr>
          <w:rFonts w:hint="eastAsia" w:ascii="宋体" w:hAnsi="宋体" w:eastAsia="宋体" w:cs="Times New Roman"/>
          <w:color w:val="auto"/>
          <w:kern w:val="2"/>
          <w:sz w:val="24"/>
          <w:szCs w:val="24"/>
          <w:highlight w:val="none"/>
          <w:lang w:val="en-US" w:eastAsia="zh-CN" w:bidi="ar-SA"/>
        </w:rPr>
        <w:t>按招标文件要求完整提供样品</w:t>
      </w:r>
      <w:r>
        <w:rPr>
          <w:rFonts w:hint="eastAsia" w:ascii="宋体" w:hAnsi="宋体" w:cs="Times New Roman"/>
          <w:color w:val="auto"/>
          <w:kern w:val="2"/>
          <w:sz w:val="24"/>
          <w:szCs w:val="24"/>
          <w:highlight w:val="none"/>
          <w:lang w:val="en-US" w:eastAsia="zh-CN" w:bidi="ar-SA"/>
        </w:rPr>
        <w:t>；或</w:t>
      </w:r>
      <w:r>
        <w:rPr>
          <w:rFonts w:hint="eastAsia" w:ascii="宋体" w:hAnsi="宋体" w:eastAsia="宋体" w:cs="宋体"/>
          <w:color w:val="auto"/>
          <w:kern w:val="2"/>
          <w:sz w:val="24"/>
          <w:szCs w:val="24"/>
          <w:highlight w:val="none"/>
          <w:lang w:val="en-US" w:eastAsia="zh-CN" w:bidi="ar-SA"/>
        </w:rPr>
        <w:t>②</w:t>
      </w:r>
      <w:r>
        <w:rPr>
          <w:rFonts w:hint="eastAsia" w:ascii="宋体" w:hAnsi="宋体" w:eastAsia="宋体" w:cs="Times New Roman"/>
          <w:color w:val="auto"/>
          <w:kern w:val="2"/>
          <w:sz w:val="24"/>
          <w:szCs w:val="24"/>
          <w:highlight w:val="none"/>
          <w:lang w:val="en-US" w:eastAsia="zh-CN" w:bidi="ar-SA"/>
        </w:rPr>
        <w:t>未按招标文件要求完整提供</w:t>
      </w:r>
      <w:r>
        <w:rPr>
          <w:rFonts w:hint="eastAsia" w:ascii="宋体" w:hAnsi="宋体" w:cs="Times New Roman"/>
          <w:color w:val="auto"/>
          <w:kern w:val="2"/>
          <w:sz w:val="24"/>
          <w:szCs w:val="24"/>
          <w:highlight w:val="none"/>
          <w:lang w:val="en-US" w:eastAsia="zh-CN" w:bidi="ar-SA"/>
        </w:rPr>
        <w:t>检测报告；或</w:t>
      </w:r>
      <w:r>
        <w:rPr>
          <w:rFonts w:hint="eastAsia" w:ascii="宋体" w:hAnsi="宋体" w:eastAsia="宋体" w:cs="宋体"/>
          <w:color w:val="auto"/>
          <w:kern w:val="2"/>
          <w:sz w:val="24"/>
          <w:szCs w:val="24"/>
          <w:highlight w:val="none"/>
          <w:lang w:val="en-US" w:eastAsia="zh-CN" w:bidi="ar-SA"/>
        </w:rPr>
        <w:t>③</w:t>
      </w:r>
      <w:r>
        <w:rPr>
          <w:rFonts w:hint="eastAsia" w:ascii="宋体" w:hAnsi="宋体" w:cs="Times New Roman"/>
          <w:color w:val="auto"/>
          <w:kern w:val="2"/>
          <w:sz w:val="24"/>
          <w:szCs w:val="24"/>
          <w:highlight w:val="none"/>
          <w:lang w:val="en-US" w:eastAsia="zh-CN" w:bidi="ar-SA"/>
        </w:rPr>
        <w:t>检测报告不符合技术要求的；</w:t>
      </w:r>
      <w:r>
        <w:rPr>
          <w:rFonts w:hint="eastAsia" w:ascii="宋体" w:hAnsi="宋体" w:eastAsia="宋体" w:cs="Times New Roman"/>
          <w:color w:val="auto"/>
          <w:kern w:val="2"/>
          <w:sz w:val="24"/>
          <w:szCs w:val="24"/>
          <w:highlight w:val="none"/>
          <w:lang w:val="en-US" w:eastAsia="zh-CN" w:bidi="ar-SA"/>
        </w:rPr>
        <w:t>或</w:t>
      </w:r>
      <w:r>
        <w:rPr>
          <w:rFonts w:hint="eastAsia" w:ascii="宋体" w:hAnsi="宋体" w:eastAsia="宋体" w:cs="宋体"/>
          <w:color w:val="auto"/>
          <w:kern w:val="2"/>
          <w:sz w:val="24"/>
          <w:szCs w:val="24"/>
          <w:highlight w:val="none"/>
          <w:lang w:val="en-US" w:eastAsia="zh-CN" w:bidi="ar-SA"/>
        </w:rPr>
        <w:t>④</w:t>
      </w:r>
      <w:r>
        <w:rPr>
          <w:rFonts w:hint="eastAsia" w:ascii="宋体" w:hAnsi="宋体" w:eastAsia="宋体" w:cs="Times New Roman"/>
          <w:color w:val="auto"/>
          <w:kern w:val="2"/>
          <w:sz w:val="24"/>
          <w:szCs w:val="24"/>
          <w:highlight w:val="none"/>
          <w:lang w:val="en-US" w:eastAsia="zh-CN" w:bidi="ar-SA"/>
        </w:rPr>
        <w:t>样品不符合技术要求的</w:t>
      </w:r>
      <w:r>
        <w:rPr>
          <w:rFonts w:hint="eastAsia" w:ascii="宋体" w:hAnsi="宋体" w:cs="Times New Roman"/>
          <w:color w:val="auto"/>
          <w:kern w:val="2"/>
          <w:sz w:val="24"/>
          <w:szCs w:val="24"/>
          <w:highlight w:val="none"/>
          <w:lang w:val="en-US" w:eastAsia="zh-CN" w:bidi="ar-SA"/>
        </w:rPr>
        <w:t>，将取消其中标资格。投标人投标时须提供承诺函，未提供承诺函的，视为未实质性响应招标文件要求。</w:t>
      </w:r>
    </w:p>
    <w:p>
      <w:pPr>
        <w:pStyle w:val="18"/>
        <w:widowControl/>
        <w:spacing w:line="360" w:lineRule="auto"/>
        <w:rPr>
          <w:rFonts w:hint="eastAsia" w:asciiTheme="majorEastAsia" w:hAnsiTheme="majorEastAsia" w:eastAsiaTheme="majorEastAsia" w:cstheme="majorEastAsia"/>
          <w:b/>
          <w:bCs/>
          <w:color w:val="auto"/>
          <w:highlight w:val="none"/>
        </w:rPr>
      </w:pPr>
    </w:p>
    <w:p>
      <w:pPr>
        <w:pStyle w:val="18"/>
        <w:widowControl/>
        <w:spacing w:line="360" w:lineRule="auto"/>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bCs/>
          <w:color w:val="auto"/>
          <w:highlight w:val="none"/>
        </w:rPr>
        <w:t>三、商务条件</w:t>
      </w:r>
      <w:r>
        <w:rPr>
          <w:rStyle w:val="25"/>
          <w:rFonts w:hint="eastAsia" w:asciiTheme="majorEastAsia" w:hAnsiTheme="majorEastAsia" w:eastAsiaTheme="majorEastAsia" w:cstheme="majorEastAsia"/>
          <w:color w:val="auto"/>
          <w:highlight w:val="none"/>
        </w:rPr>
        <w:t>（以“★”标示的内容为不允许负偏离的实质性要求）</w:t>
      </w:r>
    </w:p>
    <w:p>
      <w:pPr>
        <w:pStyle w:val="18"/>
        <w:widowControl/>
        <w:spacing w:line="400" w:lineRule="exact"/>
        <w:rPr>
          <w:rStyle w:val="25"/>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kern w:val="0"/>
          <w:szCs w:val="20"/>
          <w:highlight w:val="none"/>
        </w:rPr>
        <w:t>包：1</w:t>
      </w:r>
      <w:r>
        <w:rPr>
          <w:rStyle w:val="25"/>
          <w:rFonts w:hint="eastAsia" w:asciiTheme="majorEastAsia" w:hAnsiTheme="majorEastAsia" w:eastAsiaTheme="majorEastAsia" w:cstheme="majorEastAsia"/>
          <w:color w:val="auto"/>
          <w:highlight w:val="none"/>
        </w:rPr>
        <w:br w:type="textWrapping"/>
      </w:r>
      <w:r>
        <w:rPr>
          <w:rStyle w:val="25"/>
          <w:rFonts w:hint="eastAsia" w:asciiTheme="majorEastAsia" w:hAnsiTheme="majorEastAsia" w:eastAsiaTheme="majorEastAsia" w:cstheme="majorEastAsia"/>
          <w:color w:val="auto"/>
          <w:kern w:val="0"/>
          <w:szCs w:val="20"/>
          <w:highlight w:val="none"/>
        </w:rPr>
        <w:t>1、</w:t>
      </w:r>
      <w:r>
        <w:rPr>
          <w:rStyle w:val="25"/>
          <w:rFonts w:hint="eastAsia" w:asciiTheme="majorEastAsia" w:hAnsiTheme="majorEastAsia" w:eastAsiaTheme="majorEastAsia" w:cstheme="majorEastAsia"/>
          <w:color w:val="auto"/>
          <w:kern w:val="0"/>
          <w:sz w:val="24"/>
          <w:highlight w:val="none"/>
          <w:lang w:eastAsia="zh-CN"/>
        </w:rPr>
        <w:t>交付</w:t>
      </w:r>
      <w:r>
        <w:rPr>
          <w:rFonts w:hint="eastAsia" w:ascii="宋体" w:hAnsi="宋体" w:eastAsia="宋体" w:cs="Times New Roman"/>
          <w:b/>
          <w:bCs/>
          <w:color w:val="auto"/>
          <w:kern w:val="2"/>
          <w:sz w:val="24"/>
          <w:szCs w:val="24"/>
          <w:highlight w:val="none"/>
          <w:lang w:val="en-US" w:eastAsia="zh-CN" w:bidi="ar-SA"/>
        </w:rPr>
        <w:t>地点</w:t>
      </w:r>
      <w:r>
        <w:rPr>
          <w:rFonts w:hint="eastAsia" w:ascii="宋体" w:hAnsi="宋体" w:eastAsia="宋体" w:cs="Times New Roman"/>
          <w:color w:val="auto"/>
          <w:kern w:val="2"/>
          <w:sz w:val="24"/>
          <w:szCs w:val="24"/>
          <w:highlight w:val="none"/>
          <w:lang w:val="en-US" w:eastAsia="zh-CN" w:bidi="ar-SA"/>
        </w:rPr>
        <w:t>：秀屿区南日镇东岱村东岱湾</w:t>
      </w:r>
    </w:p>
    <w:p>
      <w:pPr>
        <w:spacing w:line="400" w:lineRule="exact"/>
        <w:rPr>
          <w:rFonts w:hint="eastAsia" w:ascii="宋体" w:hAnsi="宋体"/>
          <w:color w:val="auto"/>
          <w:sz w:val="24"/>
          <w:highlight w:val="none"/>
        </w:rPr>
      </w:pPr>
      <w:r>
        <w:rPr>
          <w:rStyle w:val="25"/>
          <w:rFonts w:hint="eastAsia" w:asciiTheme="majorEastAsia" w:hAnsiTheme="majorEastAsia" w:eastAsiaTheme="majorEastAsia" w:cstheme="majorEastAsia"/>
          <w:color w:val="auto"/>
          <w:kern w:val="0"/>
          <w:sz w:val="24"/>
          <w:highlight w:val="none"/>
        </w:rPr>
        <w:t>2、</w:t>
      </w:r>
      <w:r>
        <w:rPr>
          <w:rStyle w:val="25"/>
          <w:rFonts w:hint="eastAsia" w:asciiTheme="majorEastAsia" w:hAnsiTheme="majorEastAsia" w:eastAsiaTheme="majorEastAsia" w:cstheme="majorEastAsia"/>
          <w:color w:val="auto"/>
          <w:kern w:val="0"/>
          <w:sz w:val="24"/>
          <w:highlight w:val="none"/>
          <w:lang w:eastAsia="zh-CN"/>
        </w:rPr>
        <w:t>交付</w:t>
      </w:r>
      <w:r>
        <w:rPr>
          <w:rStyle w:val="25"/>
          <w:rFonts w:hint="eastAsia" w:asciiTheme="majorEastAsia" w:hAnsiTheme="majorEastAsia" w:eastAsiaTheme="majorEastAsia" w:cstheme="majorEastAsia"/>
          <w:color w:val="auto"/>
          <w:kern w:val="0"/>
          <w:sz w:val="24"/>
          <w:highlight w:val="none"/>
        </w:rPr>
        <w:t>时间：</w:t>
      </w:r>
      <w:r>
        <w:rPr>
          <w:rFonts w:hint="eastAsia" w:ascii="宋体" w:hAnsi="宋体" w:eastAsia="宋体" w:cs="Times New Roman"/>
          <w:color w:val="auto"/>
          <w:kern w:val="2"/>
          <w:sz w:val="24"/>
          <w:szCs w:val="24"/>
          <w:highlight w:val="none"/>
          <w:lang w:val="en-US" w:eastAsia="zh-CN" w:bidi="ar-SA"/>
        </w:rPr>
        <w:t>签订合同后（签订合同当天起算）必须在120天（日历天）内完成全部供货</w:t>
      </w:r>
    </w:p>
    <w:p>
      <w:pPr>
        <w:spacing w:line="400" w:lineRule="exact"/>
        <w:rPr>
          <w:rStyle w:val="25"/>
          <w:rFonts w:hint="eastAsia" w:asciiTheme="majorEastAsia" w:hAnsiTheme="majorEastAsia" w:eastAsiaTheme="majorEastAsia" w:cstheme="majorEastAsia"/>
          <w:b w:val="0"/>
          <w:bCs/>
          <w:color w:val="auto"/>
          <w:sz w:val="24"/>
          <w:highlight w:val="none"/>
        </w:rPr>
      </w:pPr>
      <w:r>
        <w:rPr>
          <w:rStyle w:val="25"/>
          <w:rFonts w:hint="eastAsia" w:asciiTheme="majorEastAsia" w:hAnsiTheme="majorEastAsia" w:eastAsiaTheme="majorEastAsia" w:cstheme="majorEastAsia"/>
          <w:color w:val="auto"/>
          <w:sz w:val="24"/>
          <w:highlight w:val="none"/>
        </w:rPr>
        <w:t>3、交付条件：</w:t>
      </w:r>
      <w:r>
        <w:rPr>
          <w:rStyle w:val="25"/>
          <w:rFonts w:hint="eastAsia" w:asciiTheme="majorEastAsia" w:hAnsiTheme="majorEastAsia" w:eastAsiaTheme="majorEastAsia" w:cstheme="majorEastAsia"/>
          <w:b w:val="0"/>
          <w:bCs/>
          <w:color w:val="auto"/>
          <w:sz w:val="24"/>
          <w:highlight w:val="none"/>
        </w:rPr>
        <w:t>严格按照招标文件要求交付</w:t>
      </w:r>
      <w:r>
        <w:rPr>
          <w:rStyle w:val="25"/>
          <w:rFonts w:hint="eastAsia" w:asciiTheme="majorEastAsia" w:hAnsiTheme="majorEastAsia" w:eastAsiaTheme="majorEastAsia" w:cstheme="majorEastAsia"/>
          <w:color w:val="auto"/>
          <w:sz w:val="24"/>
          <w:highlight w:val="none"/>
        </w:rPr>
        <w:br w:type="textWrapping"/>
      </w:r>
      <w:r>
        <w:rPr>
          <w:rStyle w:val="25"/>
          <w:rFonts w:hint="eastAsia" w:asciiTheme="majorEastAsia" w:hAnsiTheme="majorEastAsia" w:eastAsiaTheme="majorEastAsia" w:cstheme="majorEastAsia"/>
          <w:color w:val="auto"/>
          <w:sz w:val="24"/>
          <w:highlight w:val="none"/>
        </w:rPr>
        <w:t>4、是否收取履约保证金：</w:t>
      </w:r>
      <w:r>
        <w:rPr>
          <w:rStyle w:val="25"/>
          <w:rFonts w:hint="eastAsia" w:asciiTheme="majorEastAsia" w:hAnsiTheme="majorEastAsia" w:eastAsiaTheme="majorEastAsia" w:cstheme="majorEastAsia"/>
          <w:b w:val="0"/>
          <w:bCs/>
          <w:color w:val="auto"/>
          <w:sz w:val="24"/>
          <w:highlight w:val="none"/>
        </w:rPr>
        <w:t>是。履约保证金百分比：5%。说明：合同签订前，中标人需向招标人缴纳合同总金额5%的履约</w:t>
      </w:r>
      <w:r>
        <w:rPr>
          <w:rStyle w:val="25"/>
          <w:rFonts w:hint="eastAsia" w:asciiTheme="majorEastAsia" w:hAnsiTheme="majorEastAsia" w:eastAsiaTheme="majorEastAsia" w:cstheme="majorEastAsia"/>
          <w:b w:val="0"/>
          <w:bCs/>
          <w:color w:val="auto"/>
          <w:sz w:val="24"/>
          <w:highlight w:val="none"/>
          <w:lang w:eastAsia="zh-CN"/>
        </w:rPr>
        <w:t>保证金，</w:t>
      </w:r>
      <w:r>
        <w:rPr>
          <w:rStyle w:val="25"/>
          <w:rFonts w:hint="eastAsia" w:asciiTheme="majorEastAsia" w:hAnsiTheme="majorEastAsia" w:eastAsiaTheme="majorEastAsia" w:cstheme="majorEastAsia"/>
          <w:b w:val="0"/>
          <w:bCs/>
          <w:color w:val="auto"/>
          <w:sz w:val="24"/>
          <w:highlight w:val="none"/>
        </w:rPr>
        <w:t>履约保证金以公对公转账汇入招标人指定账户或以银行保函方式缴纳</w:t>
      </w:r>
      <w:r>
        <w:rPr>
          <w:rStyle w:val="25"/>
          <w:rFonts w:hint="eastAsia" w:asciiTheme="majorEastAsia" w:hAnsiTheme="majorEastAsia" w:eastAsiaTheme="majorEastAsia" w:cstheme="majorEastAsia"/>
          <w:b w:val="0"/>
          <w:bCs/>
          <w:color w:val="auto"/>
          <w:sz w:val="24"/>
          <w:highlight w:val="none"/>
          <w:lang w:eastAsia="zh-CN"/>
        </w:rPr>
        <w:t>。</w:t>
      </w:r>
      <w:r>
        <w:rPr>
          <w:rStyle w:val="25"/>
          <w:rFonts w:hint="eastAsia" w:asciiTheme="majorEastAsia" w:hAnsiTheme="majorEastAsia" w:eastAsiaTheme="majorEastAsia" w:cstheme="majorEastAsia"/>
          <w:b w:val="0"/>
          <w:bCs/>
          <w:color w:val="auto"/>
          <w:sz w:val="24"/>
          <w:highlight w:val="none"/>
        </w:rPr>
        <w:t>履约保证金</w:t>
      </w:r>
      <w:r>
        <w:rPr>
          <w:rStyle w:val="25"/>
          <w:rFonts w:hint="eastAsia" w:asciiTheme="majorEastAsia" w:hAnsiTheme="majorEastAsia" w:eastAsiaTheme="majorEastAsia" w:cstheme="majorEastAsia"/>
          <w:b w:val="0"/>
          <w:bCs/>
          <w:color w:val="auto"/>
          <w:sz w:val="24"/>
          <w:highlight w:val="none"/>
          <w:lang w:eastAsia="zh-CN"/>
        </w:rPr>
        <w:t>在货物</w:t>
      </w:r>
      <w:r>
        <w:rPr>
          <w:rStyle w:val="25"/>
          <w:rFonts w:hint="eastAsia" w:asciiTheme="majorEastAsia" w:hAnsiTheme="majorEastAsia" w:eastAsiaTheme="majorEastAsia" w:cstheme="majorEastAsia"/>
          <w:b w:val="0"/>
          <w:bCs/>
          <w:color w:val="auto"/>
          <w:sz w:val="24"/>
          <w:highlight w:val="none"/>
          <w:lang w:val="en-US" w:eastAsia="zh-CN"/>
        </w:rPr>
        <w:t>通过行业主管部门验收合格后</w:t>
      </w:r>
      <w:r>
        <w:rPr>
          <w:rStyle w:val="25"/>
          <w:rFonts w:hint="eastAsia" w:asciiTheme="majorEastAsia" w:hAnsiTheme="majorEastAsia" w:eastAsiaTheme="majorEastAsia" w:cstheme="majorEastAsia"/>
          <w:b w:val="0"/>
          <w:bCs/>
          <w:color w:val="auto"/>
          <w:sz w:val="24"/>
          <w:highlight w:val="none"/>
          <w:lang w:eastAsia="zh-CN"/>
        </w:rPr>
        <w:t>无</w:t>
      </w:r>
      <w:r>
        <w:rPr>
          <w:rStyle w:val="25"/>
          <w:rFonts w:hint="eastAsia" w:asciiTheme="majorEastAsia" w:hAnsiTheme="majorEastAsia" w:eastAsiaTheme="majorEastAsia" w:cstheme="majorEastAsia"/>
          <w:b w:val="0"/>
          <w:bCs/>
          <w:color w:val="auto"/>
          <w:sz w:val="24"/>
          <w:highlight w:val="none"/>
        </w:rPr>
        <w:t>未了事宜，一次性无息退还。</w:t>
      </w:r>
    </w:p>
    <w:p>
      <w:pPr>
        <w:spacing w:line="400" w:lineRule="exact"/>
        <w:rPr>
          <w:rStyle w:val="25"/>
          <w:rFonts w:hint="eastAsia" w:asciiTheme="majorEastAsia" w:hAnsiTheme="majorEastAsia" w:eastAsiaTheme="majorEastAsia" w:cstheme="majorEastAsia"/>
          <w:color w:val="auto"/>
          <w:sz w:val="24"/>
          <w:highlight w:val="none"/>
        </w:rPr>
      </w:pPr>
      <w:r>
        <w:rPr>
          <w:rStyle w:val="25"/>
          <w:rFonts w:hint="eastAsia" w:asciiTheme="majorEastAsia" w:hAnsiTheme="majorEastAsia" w:eastAsiaTheme="majorEastAsia" w:cstheme="majorEastAsia"/>
          <w:color w:val="auto"/>
          <w:sz w:val="24"/>
          <w:highlight w:val="none"/>
        </w:rPr>
        <w:t>5、是否邀请投标人参与验收：否</w:t>
      </w:r>
    </w:p>
    <w:p>
      <w:pPr>
        <w:keepNext w:val="0"/>
        <w:keepLines w:val="0"/>
        <w:widowControl/>
        <w:suppressLineNumbers w:val="0"/>
        <w:jc w:val="left"/>
        <w:rPr>
          <w:color w:val="auto"/>
          <w:highlight w:val="none"/>
        </w:rPr>
      </w:pPr>
      <w:r>
        <w:rPr>
          <w:rStyle w:val="25"/>
          <w:rFonts w:hint="eastAsia" w:asciiTheme="majorEastAsia" w:hAnsiTheme="majorEastAsia" w:eastAsiaTheme="majorEastAsia" w:cstheme="majorEastAsia"/>
          <w:color w:val="auto"/>
          <w:sz w:val="24"/>
          <w:highlight w:val="none"/>
          <w:lang w:val="en-US" w:eastAsia="zh-CN"/>
        </w:rPr>
        <w:t>6、</w:t>
      </w:r>
      <w:r>
        <w:rPr>
          <w:rStyle w:val="25"/>
          <w:rFonts w:ascii="宋体" w:hAnsi="宋体" w:eastAsia="宋体" w:cs="宋体"/>
          <w:color w:val="auto"/>
          <w:kern w:val="0"/>
          <w:sz w:val="24"/>
          <w:szCs w:val="24"/>
          <w:highlight w:val="none"/>
          <w:lang w:val="en-US" w:eastAsia="zh-CN" w:bidi="ar"/>
        </w:rPr>
        <w:t xml:space="preserve">验收方式数据表格 </w:t>
      </w:r>
    </w:p>
    <w:tbl>
      <w:tblPr>
        <w:tblStyle w:val="21"/>
        <w:tblW w:w="5052" w:type="pct"/>
        <w:tblCellSpacing w:w="0"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267"/>
        <w:gridCol w:w="7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753" w:type="pct"/>
            <w:shd w:val="clear" w:color="auto" w:fill="auto"/>
            <w:vAlign w:val="center"/>
          </w:tcPr>
          <w:p>
            <w:pPr>
              <w:widowControl/>
              <w:spacing w:line="440" w:lineRule="exact"/>
              <w:jc w:val="center"/>
              <w:rPr>
                <w:rFonts w:hint="eastAsia" w:asciiTheme="majorEastAsia" w:hAnsiTheme="majorEastAsia" w:eastAsiaTheme="majorEastAsia" w:cstheme="majorEastAsia"/>
                <w:b/>
                <w:bCs/>
                <w:color w:val="auto"/>
                <w:kern w:val="0"/>
                <w:sz w:val="24"/>
                <w:highlight w:val="none"/>
              </w:rPr>
            </w:pPr>
            <w:r>
              <w:rPr>
                <w:rFonts w:hint="eastAsia" w:asciiTheme="majorEastAsia" w:hAnsiTheme="majorEastAsia" w:eastAsiaTheme="majorEastAsia" w:cstheme="majorEastAsia"/>
                <w:b/>
                <w:bCs/>
                <w:color w:val="auto"/>
                <w:kern w:val="0"/>
                <w:sz w:val="24"/>
                <w:highlight w:val="none"/>
                <w:lang w:val="en-US" w:eastAsia="zh-CN"/>
              </w:rPr>
              <w:t>验收期次</w:t>
            </w:r>
          </w:p>
        </w:tc>
        <w:tc>
          <w:tcPr>
            <w:tcW w:w="4246" w:type="pct"/>
            <w:shd w:val="clear" w:color="auto" w:fill="auto"/>
            <w:vAlign w:val="center"/>
          </w:tcPr>
          <w:p>
            <w:pPr>
              <w:widowControl/>
              <w:spacing w:line="440" w:lineRule="exact"/>
              <w:jc w:val="left"/>
              <w:rPr>
                <w:rFonts w:hint="eastAsia" w:asciiTheme="majorEastAsia" w:hAnsiTheme="majorEastAsia" w:eastAsiaTheme="majorEastAsia" w:cstheme="majorEastAsia"/>
                <w:b/>
                <w:bCs/>
                <w:color w:val="auto"/>
                <w:kern w:val="0"/>
                <w:sz w:val="24"/>
                <w:highlight w:val="none"/>
              </w:rPr>
            </w:pPr>
            <w:r>
              <w:rPr>
                <w:rFonts w:hint="eastAsia" w:asciiTheme="majorEastAsia" w:hAnsiTheme="majorEastAsia" w:eastAsiaTheme="majorEastAsia" w:cstheme="majorEastAsia"/>
                <w:b/>
                <w:bCs/>
                <w:color w:val="auto"/>
                <w:kern w:val="0"/>
                <w:sz w:val="24"/>
                <w:highlight w:val="none"/>
                <w:lang w:val="en-US" w:eastAsia="zh-CN"/>
              </w:rPr>
              <w:t>验收期次说明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53" w:type="pct"/>
            <w:shd w:val="clear" w:color="auto" w:fill="auto"/>
            <w:vAlign w:val="center"/>
          </w:tcPr>
          <w:p>
            <w:pPr>
              <w:spacing w:line="400" w:lineRule="exact"/>
              <w:jc w:val="center"/>
              <w:rPr>
                <w:rStyle w:val="25"/>
                <w:rFonts w:hint="eastAsia" w:asciiTheme="majorEastAsia" w:hAnsiTheme="majorEastAsia" w:eastAsiaTheme="majorEastAsia" w:cstheme="majorEastAsia"/>
                <w:b w:val="0"/>
                <w:bCs/>
                <w:color w:val="auto"/>
                <w:sz w:val="24"/>
                <w:highlight w:val="none"/>
                <w:lang w:val="en-US" w:eastAsia="zh-CN"/>
              </w:rPr>
            </w:pPr>
            <w:r>
              <w:rPr>
                <w:rStyle w:val="25"/>
                <w:rFonts w:hint="eastAsia" w:asciiTheme="majorEastAsia" w:hAnsiTheme="majorEastAsia" w:eastAsiaTheme="majorEastAsia" w:cstheme="majorEastAsia"/>
                <w:b/>
                <w:bCs w:val="0"/>
                <w:color w:val="auto"/>
                <w:sz w:val="24"/>
                <w:highlight w:val="none"/>
                <w:lang w:val="en-US" w:eastAsia="zh-CN"/>
              </w:rPr>
              <w:t>1</w:t>
            </w:r>
          </w:p>
        </w:tc>
        <w:tc>
          <w:tcPr>
            <w:tcW w:w="4246" w:type="pct"/>
            <w:shd w:val="clear" w:color="auto" w:fill="auto"/>
            <w:vAlign w:val="center"/>
          </w:tcPr>
          <w:p>
            <w:pPr>
              <w:spacing w:line="400" w:lineRule="exact"/>
              <w:rPr>
                <w:rFonts w:hint="eastAsia" w:eastAsia="宋体"/>
                <w:color w:val="auto"/>
                <w:highlight w:val="none"/>
                <w:lang w:val="en-US" w:eastAsia="zh-CN"/>
              </w:rPr>
            </w:pPr>
            <w:r>
              <w:rPr>
                <w:rStyle w:val="25"/>
                <w:rFonts w:hint="eastAsia" w:asciiTheme="majorEastAsia" w:hAnsiTheme="majorEastAsia" w:eastAsiaTheme="majorEastAsia" w:cstheme="majorEastAsia"/>
                <w:b w:val="0"/>
                <w:bCs/>
                <w:color w:val="auto"/>
                <w:sz w:val="24"/>
                <w:highlight w:val="none"/>
                <w:lang w:val="en-US" w:eastAsia="zh-CN"/>
              </w:rPr>
              <w:t>1、</w:t>
            </w:r>
            <w:r>
              <w:rPr>
                <w:rStyle w:val="25"/>
                <w:rFonts w:hint="eastAsia" w:asciiTheme="majorEastAsia" w:hAnsiTheme="majorEastAsia" w:eastAsiaTheme="majorEastAsia" w:cstheme="majorEastAsia"/>
                <w:b w:val="0"/>
                <w:bCs/>
                <w:color w:val="auto"/>
                <w:sz w:val="24"/>
                <w:highlight w:val="none"/>
              </w:rPr>
              <w:t>验收标准：必须符合</w:t>
            </w:r>
            <w:r>
              <w:rPr>
                <w:rStyle w:val="25"/>
                <w:rFonts w:hint="eastAsia" w:asciiTheme="majorEastAsia" w:hAnsiTheme="majorEastAsia" w:eastAsiaTheme="majorEastAsia" w:cstheme="majorEastAsia"/>
                <w:b w:val="0"/>
                <w:bCs/>
                <w:color w:val="auto"/>
                <w:kern w:val="2"/>
                <w:sz w:val="24"/>
                <w:szCs w:val="24"/>
                <w:highlight w:val="none"/>
                <w:lang w:val="en-US" w:eastAsia="zh-CN" w:bidi="ar-SA"/>
              </w:rPr>
              <w:t>《莆田市海洋与渔业局关于印发《莆田海上养殖设施建设技术要求（试行）》的通知》（莆海渔〔2021〕78号）以及《福建省海洋与渔业局关于印发《福建省设施渔业项目建设技术要求（2018）》的通知》（闽海渔〔2018〕214号）</w:t>
            </w:r>
            <w:r>
              <w:rPr>
                <w:rStyle w:val="25"/>
                <w:rFonts w:hint="eastAsia" w:asciiTheme="majorEastAsia" w:hAnsiTheme="majorEastAsia" w:eastAsiaTheme="majorEastAsia" w:cstheme="majorEastAsia"/>
                <w:b w:val="0"/>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753" w:type="pct"/>
            <w:shd w:val="clear" w:color="auto" w:fill="auto"/>
            <w:vAlign w:val="center"/>
          </w:tcPr>
          <w:p>
            <w:pPr>
              <w:spacing w:line="400" w:lineRule="exact"/>
              <w:jc w:val="center"/>
              <w:rPr>
                <w:rStyle w:val="25"/>
                <w:rFonts w:hint="default" w:asciiTheme="majorEastAsia" w:hAnsiTheme="majorEastAsia" w:eastAsiaTheme="majorEastAsia" w:cstheme="majorEastAsia"/>
                <w:b/>
                <w:bCs w:val="0"/>
                <w:color w:val="auto"/>
                <w:sz w:val="24"/>
                <w:highlight w:val="none"/>
                <w:lang w:val="en-US" w:eastAsia="zh-CN"/>
              </w:rPr>
            </w:pPr>
            <w:r>
              <w:rPr>
                <w:rStyle w:val="25"/>
                <w:rFonts w:hint="eastAsia" w:asciiTheme="majorEastAsia" w:hAnsiTheme="majorEastAsia" w:eastAsiaTheme="majorEastAsia" w:cstheme="majorEastAsia"/>
                <w:b/>
                <w:bCs w:val="0"/>
                <w:color w:val="auto"/>
                <w:sz w:val="24"/>
                <w:highlight w:val="none"/>
                <w:lang w:val="en-US" w:eastAsia="zh-CN"/>
              </w:rPr>
              <w:t>2</w:t>
            </w:r>
          </w:p>
        </w:tc>
        <w:tc>
          <w:tcPr>
            <w:tcW w:w="4246" w:type="pct"/>
            <w:shd w:val="clear" w:color="auto" w:fill="auto"/>
            <w:vAlign w:val="center"/>
          </w:tcPr>
          <w:p>
            <w:pPr>
              <w:spacing w:line="400" w:lineRule="exact"/>
              <w:rPr>
                <w:rStyle w:val="25"/>
                <w:rFonts w:hint="eastAsia" w:asciiTheme="majorEastAsia" w:hAnsiTheme="majorEastAsia" w:eastAsiaTheme="majorEastAsia" w:cstheme="majorEastAsia"/>
                <w:b w:val="0"/>
                <w:bCs/>
                <w:color w:val="auto"/>
                <w:sz w:val="24"/>
                <w:highlight w:val="none"/>
                <w:lang w:eastAsia="zh-CN"/>
              </w:rPr>
            </w:pPr>
            <w:r>
              <w:rPr>
                <w:rStyle w:val="25"/>
                <w:rFonts w:hint="eastAsia" w:asciiTheme="majorEastAsia" w:hAnsiTheme="majorEastAsia" w:eastAsiaTheme="majorEastAsia" w:cstheme="majorEastAsia"/>
                <w:b w:val="0"/>
                <w:bCs/>
                <w:color w:val="auto"/>
                <w:sz w:val="24"/>
                <w:highlight w:val="none"/>
                <w:lang w:val="en-US" w:eastAsia="zh-CN"/>
              </w:rPr>
              <w:t>2、</w:t>
            </w:r>
            <w:r>
              <w:rPr>
                <w:rStyle w:val="25"/>
                <w:rFonts w:hint="eastAsia" w:asciiTheme="majorEastAsia" w:hAnsiTheme="majorEastAsia" w:eastAsiaTheme="majorEastAsia" w:cstheme="majorEastAsia"/>
                <w:b w:val="0"/>
                <w:bCs/>
                <w:color w:val="auto"/>
                <w:sz w:val="24"/>
                <w:highlight w:val="none"/>
              </w:rPr>
              <w:t>出厂检验</w:t>
            </w:r>
            <w:r>
              <w:rPr>
                <w:rStyle w:val="25"/>
                <w:rFonts w:hint="eastAsia" w:asciiTheme="majorEastAsia" w:hAnsiTheme="majorEastAsia" w:eastAsiaTheme="majorEastAsia" w:cstheme="majorEastAsia"/>
                <w:b w:val="0"/>
                <w:bCs/>
                <w:color w:val="auto"/>
                <w:sz w:val="24"/>
                <w:highlight w:val="none"/>
                <w:lang w:eastAsia="zh-CN"/>
              </w:rPr>
              <w:t>：</w:t>
            </w:r>
          </w:p>
          <w:p>
            <w:pPr>
              <w:spacing w:line="400" w:lineRule="exact"/>
              <w:rPr>
                <w:rStyle w:val="25"/>
                <w:rFonts w:hint="eastAsia" w:asciiTheme="majorEastAsia" w:hAnsiTheme="majorEastAsia" w:eastAsiaTheme="majorEastAsia" w:cstheme="majorEastAsia"/>
                <w:b w:val="0"/>
                <w:bCs/>
                <w:color w:val="auto"/>
                <w:sz w:val="24"/>
                <w:highlight w:val="none"/>
              </w:rPr>
            </w:pPr>
            <w:r>
              <w:rPr>
                <w:rStyle w:val="25"/>
                <w:rFonts w:hint="eastAsia" w:asciiTheme="majorEastAsia" w:hAnsiTheme="majorEastAsia" w:eastAsiaTheme="majorEastAsia" w:cstheme="majorEastAsia"/>
                <w:b w:val="0"/>
                <w:bCs/>
                <w:color w:val="auto"/>
                <w:sz w:val="24"/>
                <w:highlight w:val="none"/>
                <w:lang w:val="en-US" w:eastAsia="zh-CN"/>
              </w:rPr>
              <w:t>2.1</w:t>
            </w:r>
            <w:r>
              <w:rPr>
                <w:rStyle w:val="25"/>
                <w:rFonts w:hint="eastAsia" w:asciiTheme="majorEastAsia" w:hAnsiTheme="majorEastAsia" w:eastAsiaTheme="majorEastAsia" w:cstheme="majorEastAsia"/>
                <w:b w:val="0"/>
                <w:bCs/>
                <w:color w:val="auto"/>
                <w:sz w:val="24"/>
                <w:highlight w:val="none"/>
              </w:rPr>
              <w:t>中标人所提供所有渔排构件需符合</w:t>
            </w:r>
            <w:r>
              <w:rPr>
                <w:rStyle w:val="25"/>
                <w:rFonts w:hint="eastAsia" w:asciiTheme="majorEastAsia" w:hAnsiTheme="majorEastAsia" w:eastAsiaTheme="majorEastAsia" w:cstheme="majorEastAsia"/>
                <w:b w:val="0"/>
                <w:bCs/>
                <w:color w:val="auto"/>
                <w:kern w:val="2"/>
                <w:sz w:val="24"/>
                <w:szCs w:val="24"/>
                <w:highlight w:val="none"/>
                <w:lang w:val="en-US" w:eastAsia="zh-CN" w:bidi="ar-SA"/>
              </w:rPr>
              <w:t>《莆田市海洋与渔业局关于印发《莆田海上养殖设施建设技术要求（试行）》的通知》（莆海渔〔2021〕78号）以及</w:t>
            </w:r>
            <w:r>
              <w:rPr>
                <w:rStyle w:val="25"/>
                <w:rFonts w:hint="eastAsia" w:asciiTheme="majorEastAsia" w:hAnsiTheme="majorEastAsia" w:eastAsiaTheme="majorEastAsia" w:cstheme="majorEastAsia"/>
                <w:b w:val="0"/>
                <w:bCs/>
                <w:color w:val="auto"/>
                <w:sz w:val="24"/>
                <w:highlight w:val="none"/>
              </w:rPr>
              <w:t>《福建省海洋与渔业局关于印发《福建省设施渔业项目建设技术要求（2018）》的通知》〔2018〕214号</w:t>
            </w:r>
            <w:r>
              <w:rPr>
                <w:rStyle w:val="25"/>
                <w:rFonts w:hint="eastAsia" w:asciiTheme="majorEastAsia" w:hAnsiTheme="majorEastAsia" w:eastAsiaTheme="majorEastAsia" w:cstheme="majorEastAsia"/>
                <w:b w:val="0"/>
                <w:bCs/>
                <w:color w:val="auto"/>
                <w:sz w:val="24"/>
                <w:highlight w:val="none"/>
                <w:lang w:eastAsia="zh-CN"/>
              </w:rPr>
              <w:t>文件</w:t>
            </w:r>
            <w:r>
              <w:rPr>
                <w:rStyle w:val="25"/>
                <w:rFonts w:hint="eastAsia" w:asciiTheme="majorEastAsia" w:hAnsiTheme="majorEastAsia" w:eastAsiaTheme="majorEastAsia" w:cstheme="majorEastAsia"/>
                <w:b w:val="0"/>
                <w:bCs/>
                <w:color w:val="auto"/>
                <w:sz w:val="24"/>
                <w:highlight w:val="none"/>
              </w:rPr>
              <w:t>，中标人须提供所有渔排构件的产品合格证明和技术监督部门的质量检测合格报告。</w:t>
            </w:r>
          </w:p>
          <w:p>
            <w:pPr>
              <w:spacing w:line="400" w:lineRule="exact"/>
              <w:rPr>
                <w:rStyle w:val="25"/>
                <w:rFonts w:hint="eastAsia" w:asciiTheme="majorEastAsia" w:hAnsiTheme="majorEastAsia" w:eastAsiaTheme="majorEastAsia" w:cstheme="majorEastAsia"/>
                <w:b w:val="0"/>
                <w:bCs/>
                <w:color w:val="auto"/>
                <w:sz w:val="24"/>
                <w:highlight w:val="none"/>
              </w:rPr>
            </w:pPr>
            <w:r>
              <w:rPr>
                <w:rStyle w:val="25"/>
                <w:rFonts w:hint="eastAsia" w:asciiTheme="majorEastAsia" w:hAnsiTheme="majorEastAsia" w:eastAsiaTheme="majorEastAsia" w:cstheme="majorEastAsia"/>
                <w:b w:val="0"/>
                <w:bCs/>
                <w:color w:val="auto"/>
                <w:sz w:val="24"/>
                <w:highlight w:val="none"/>
                <w:lang w:val="en-US" w:eastAsia="zh-CN"/>
              </w:rPr>
              <w:t>2.2</w:t>
            </w:r>
            <w:r>
              <w:rPr>
                <w:rStyle w:val="25"/>
                <w:rFonts w:hint="eastAsia" w:asciiTheme="majorEastAsia" w:hAnsiTheme="majorEastAsia" w:eastAsiaTheme="majorEastAsia" w:cstheme="majorEastAsia"/>
                <w:b w:val="0"/>
                <w:bCs/>
                <w:color w:val="auto"/>
                <w:sz w:val="24"/>
                <w:highlight w:val="none"/>
              </w:rPr>
              <w:t>中标人须提供塑胶渔排专用构件和零部件的原材料牌号、级别证明。</w:t>
            </w:r>
          </w:p>
          <w:p>
            <w:pPr>
              <w:spacing w:line="400" w:lineRule="exact"/>
              <w:rPr>
                <w:rStyle w:val="25"/>
                <w:rFonts w:hint="eastAsia" w:asciiTheme="majorEastAsia" w:hAnsiTheme="majorEastAsia" w:eastAsiaTheme="majorEastAsia" w:cstheme="majorEastAsia"/>
                <w:b w:val="0"/>
                <w:bCs/>
                <w:color w:val="auto"/>
                <w:sz w:val="24"/>
                <w:highlight w:val="none"/>
                <w:lang w:val="en-US" w:eastAsia="zh-CN"/>
              </w:rPr>
            </w:pPr>
            <w:r>
              <w:rPr>
                <w:rStyle w:val="25"/>
                <w:rFonts w:hint="eastAsia" w:asciiTheme="majorEastAsia" w:hAnsiTheme="majorEastAsia" w:eastAsiaTheme="majorEastAsia" w:cstheme="majorEastAsia"/>
                <w:b w:val="0"/>
                <w:bCs/>
                <w:color w:val="auto"/>
                <w:sz w:val="24"/>
                <w:highlight w:val="none"/>
                <w:lang w:val="en-US" w:eastAsia="zh-CN"/>
              </w:rPr>
              <w:t>2.3</w:t>
            </w:r>
            <w:r>
              <w:rPr>
                <w:rStyle w:val="25"/>
                <w:rFonts w:hint="eastAsia" w:asciiTheme="majorEastAsia" w:hAnsiTheme="majorEastAsia" w:eastAsiaTheme="majorEastAsia" w:cstheme="majorEastAsia"/>
                <w:b w:val="0"/>
                <w:bCs/>
                <w:color w:val="auto"/>
                <w:sz w:val="24"/>
                <w:highlight w:val="none"/>
              </w:rPr>
              <w:t>中标人所提供的渔用纤维绳索，每卷应附有产品合格证明作为标签，合格证明上应标明产品的原料供应商、材质、直径、生产企业名称、执行标准编号等。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753" w:type="pct"/>
            <w:shd w:val="clear" w:color="auto" w:fill="auto"/>
            <w:vAlign w:val="center"/>
          </w:tcPr>
          <w:p>
            <w:pPr>
              <w:spacing w:line="400" w:lineRule="exact"/>
              <w:jc w:val="center"/>
              <w:rPr>
                <w:rStyle w:val="25"/>
                <w:rFonts w:hint="default" w:asciiTheme="majorEastAsia" w:hAnsiTheme="majorEastAsia" w:eastAsiaTheme="majorEastAsia" w:cstheme="majorEastAsia"/>
                <w:b/>
                <w:bCs w:val="0"/>
                <w:color w:val="auto"/>
                <w:sz w:val="24"/>
                <w:highlight w:val="none"/>
                <w:lang w:val="en-US" w:eastAsia="zh-CN"/>
              </w:rPr>
            </w:pPr>
            <w:r>
              <w:rPr>
                <w:rStyle w:val="25"/>
                <w:rFonts w:hint="eastAsia" w:asciiTheme="majorEastAsia" w:hAnsiTheme="majorEastAsia" w:eastAsiaTheme="majorEastAsia" w:cstheme="majorEastAsia"/>
                <w:b/>
                <w:bCs w:val="0"/>
                <w:color w:val="auto"/>
                <w:sz w:val="24"/>
                <w:highlight w:val="none"/>
                <w:lang w:val="en-US" w:eastAsia="zh-CN"/>
              </w:rPr>
              <w:t>3</w:t>
            </w:r>
          </w:p>
        </w:tc>
        <w:tc>
          <w:tcPr>
            <w:tcW w:w="4246" w:type="pct"/>
            <w:shd w:val="clear" w:color="auto" w:fill="auto"/>
            <w:vAlign w:val="center"/>
          </w:tcPr>
          <w:p>
            <w:pPr>
              <w:spacing w:line="400" w:lineRule="exact"/>
              <w:rPr>
                <w:rStyle w:val="25"/>
                <w:rFonts w:hint="eastAsia" w:asciiTheme="majorEastAsia" w:hAnsiTheme="majorEastAsia" w:eastAsiaTheme="majorEastAsia" w:cstheme="majorEastAsia"/>
                <w:b w:val="0"/>
                <w:bCs/>
                <w:color w:val="auto"/>
                <w:sz w:val="24"/>
                <w:highlight w:val="none"/>
                <w:lang w:val="en-US" w:eastAsia="zh-CN"/>
              </w:rPr>
            </w:pPr>
            <w:r>
              <w:rPr>
                <w:rStyle w:val="25"/>
                <w:rFonts w:hint="eastAsia" w:asciiTheme="majorEastAsia" w:hAnsiTheme="majorEastAsia" w:eastAsiaTheme="majorEastAsia" w:cstheme="majorEastAsia"/>
                <w:b w:val="0"/>
                <w:bCs/>
                <w:color w:val="auto"/>
                <w:sz w:val="24"/>
                <w:highlight w:val="none"/>
                <w:lang w:val="en-US" w:eastAsia="zh-CN"/>
              </w:rPr>
              <w:t>3、</w:t>
            </w:r>
            <w:r>
              <w:rPr>
                <w:rStyle w:val="25"/>
                <w:rFonts w:hint="eastAsia" w:asciiTheme="majorEastAsia" w:hAnsiTheme="majorEastAsia" w:eastAsiaTheme="majorEastAsia" w:cstheme="majorEastAsia"/>
                <w:b w:val="0"/>
                <w:bCs/>
                <w:color w:val="auto"/>
                <w:sz w:val="24"/>
                <w:highlight w:val="none"/>
              </w:rPr>
              <w:t>安装调试检验</w:t>
            </w:r>
            <w:r>
              <w:rPr>
                <w:rStyle w:val="25"/>
                <w:rFonts w:hint="eastAsia" w:asciiTheme="majorEastAsia" w:hAnsiTheme="majorEastAsia" w:eastAsiaTheme="majorEastAsia" w:cstheme="majorEastAsia"/>
                <w:b w:val="0"/>
                <w:bCs/>
                <w:color w:val="auto"/>
                <w:sz w:val="24"/>
                <w:highlight w:val="none"/>
                <w:lang w:eastAsia="zh-CN"/>
              </w:rPr>
              <w:t>：</w:t>
            </w:r>
            <w:r>
              <w:rPr>
                <w:rStyle w:val="25"/>
                <w:rFonts w:hint="eastAsia" w:asciiTheme="majorEastAsia" w:hAnsiTheme="majorEastAsia" w:eastAsiaTheme="majorEastAsia" w:cstheme="majorEastAsia"/>
                <w:b w:val="0"/>
                <w:bCs/>
                <w:color w:val="auto"/>
                <w:sz w:val="24"/>
                <w:highlight w:val="none"/>
              </w:rPr>
              <w:t>设备安装、调试过程，中标人应作详细检验记录。安装调试检验结果应符合制造厂产品标准和招标文件的规定。检验记录应真实并提供给招标人。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753" w:type="pct"/>
            <w:shd w:val="clear" w:color="auto" w:fill="auto"/>
            <w:vAlign w:val="center"/>
          </w:tcPr>
          <w:p>
            <w:pPr>
              <w:spacing w:line="400" w:lineRule="exact"/>
              <w:jc w:val="center"/>
              <w:rPr>
                <w:rStyle w:val="25"/>
                <w:rFonts w:hint="default" w:asciiTheme="majorEastAsia" w:hAnsiTheme="majorEastAsia" w:eastAsiaTheme="majorEastAsia" w:cstheme="majorEastAsia"/>
                <w:b/>
                <w:bCs w:val="0"/>
                <w:color w:val="auto"/>
                <w:sz w:val="24"/>
                <w:highlight w:val="none"/>
                <w:lang w:val="en-US" w:eastAsia="zh-CN"/>
              </w:rPr>
            </w:pPr>
            <w:r>
              <w:rPr>
                <w:rStyle w:val="25"/>
                <w:rFonts w:hint="eastAsia" w:asciiTheme="majorEastAsia" w:hAnsiTheme="majorEastAsia" w:eastAsiaTheme="majorEastAsia" w:cstheme="majorEastAsia"/>
                <w:b/>
                <w:bCs w:val="0"/>
                <w:color w:val="auto"/>
                <w:sz w:val="24"/>
                <w:highlight w:val="none"/>
                <w:lang w:val="en-US" w:eastAsia="zh-CN"/>
              </w:rPr>
              <w:t>4</w:t>
            </w:r>
          </w:p>
        </w:tc>
        <w:tc>
          <w:tcPr>
            <w:tcW w:w="4246" w:type="pct"/>
            <w:shd w:val="clear" w:color="auto" w:fill="auto"/>
            <w:vAlign w:val="center"/>
          </w:tcPr>
          <w:p>
            <w:pPr>
              <w:spacing w:line="400" w:lineRule="exact"/>
              <w:rPr>
                <w:rStyle w:val="25"/>
                <w:rFonts w:hint="eastAsia" w:asciiTheme="majorEastAsia" w:hAnsiTheme="majorEastAsia" w:eastAsiaTheme="majorEastAsia" w:cstheme="majorEastAsia"/>
                <w:b w:val="0"/>
                <w:bCs/>
                <w:color w:val="auto"/>
                <w:sz w:val="24"/>
                <w:highlight w:val="none"/>
              </w:rPr>
            </w:pPr>
            <w:r>
              <w:rPr>
                <w:rStyle w:val="25"/>
                <w:rFonts w:hint="eastAsia" w:asciiTheme="majorEastAsia" w:hAnsiTheme="majorEastAsia" w:eastAsiaTheme="majorEastAsia" w:cstheme="majorEastAsia"/>
                <w:b w:val="0"/>
                <w:bCs/>
                <w:color w:val="auto"/>
                <w:sz w:val="24"/>
                <w:highlight w:val="none"/>
                <w:lang w:val="en-US" w:eastAsia="zh-CN"/>
              </w:rPr>
              <w:t>4、</w:t>
            </w:r>
            <w:r>
              <w:rPr>
                <w:rStyle w:val="25"/>
                <w:rFonts w:hint="eastAsia" w:asciiTheme="majorEastAsia" w:hAnsiTheme="majorEastAsia" w:eastAsiaTheme="majorEastAsia" w:cstheme="majorEastAsia"/>
                <w:b w:val="0"/>
                <w:bCs/>
                <w:color w:val="auto"/>
                <w:sz w:val="24"/>
                <w:highlight w:val="none"/>
              </w:rPr>
              <w:t>最终验收</w:t>
            </w:r>
          </w:p>
          <w:p>
            <w:pPr>
              <w:spacing w:line="400" w:lineRule="exact"/>
              <w:rPr>
                <w:rStyle w:val="25"/>
                <w:rFonts w:hint="eastAsia" w:asciiTheme="majorEastAsia" w:hAnsiTheme="majorEastAsia" w:eastAsiaTheme="majorEastAsia" w:cstheme="majorEastAsia"/>
                <w:b w:val="0"/>
                <w:bCs/>
                <w:color w:val="auto"/>
                <w:sz w:val="24"/>
                <w:highlight w:val="none"/>
              </w:rPr>
            </w:pPr>
            <w:r>
              <w:rPr>
                <w:rStyle w:val="25"/>
                <w:rFonts w:hint="eastAsia" w:asciiTheme="majorEastAsia" w:hAnsiTheme="majorEastAsia" w:eastAsiaTheme="majorEastAsia" w:cstheme="majorEastAsia"/>
                <w:b w:val="0"/>
                <w:bCs/>
                <w:color w:val="auto"/>
                <w:sz w:val="24"/>
                <w:highlight w:val="none"/>
                <w:lang w:val="en-US" w:eastAsia="zh-CN"/>
              </w:rPr>
              <w:t>4.1</w:t>
            </w:r>
            <w:r>
              <w:rPr>
                <w:rStyle w:val="25"/>
                <w:rFonts w:hint="eastAsia" w:asciiTheme="majorEastAsia" w:hAnsiTheme="majorEastAsia" w:eastAsiaTheme="majorEastAsia" w:cstheme="majorEastAsia"/>
                <w:b w:val="0"/>
                <w:bCs/>
                <w:color w:val="auto"/>
                <w:sz w:val="24"/>
                <w:highlight w:val="none"/>
              </w:rPr>
              <w:t>设备安装、调试结束后，由中标人负责并会同招标人按相关规定的标准要求进行联合</w:t>
            </w:r>
            <w:r>
              <w:rPr>
                <w:rStyle w:val="25"/>
                <w:rFonts w:hint="eastAsia" w:asciiTheme="majorEastAsia" w:hAnsiTheme="majorEastAsia" w:eastAsiaTheme="majorEastAsia" w:cstheme="majorEastAsia"/>
                <w:b w:val="0"/>
                <w:bCs/>
                <w:color w:val="auto"/>
                <w:sz w:val="24"/>
                <w:highlight w:val="none"/>
                <w:lang w:eastAsia="zh-CN"/>
              </w:rPr>
              <w:t>初步</w:t>
            </w:r>
            <w:r>
              <w:rPr>
                <w:rStyle w:val="25"/>
                <w:rFonts w:hint="eastAsia" w:asciiTheme="majorEastAsia" w:hAnsiTheme="majorEastAsia" w:eastAsiaTheme="majorEastAsia" w:cstheme="majorEastAsia"/>
                <w:b w:val="0"/>
                <w:bCs/>
                <w:color w:val="auto"/>
                <w:sz w:val="24"/>
                <w:highlight w:val="none"/>
              </w:rPr>
              <w:t>验收。</w:t>
            </w:r>
          </w:p>
          <w:p>
            <w:pPr>
              <w:spacing w:line="400" w:lineRule="exact"/>
              <w:rPr>
                <w:rStyle w:val="25"/>
                <w:rFonts w:hint="eastAsia" w:asciiTheme="majorEastAsia" w:hAnsiTheme="majorEastAsia" w:eastAsiaTheme="majorEastAsia" w:cstheme="majorEastAsia"/>
                <w:b w:val="0"/>
                <w:bCs/>
                <w:color w:val="auto"/>
                <w:sz w:val="24"/>
                <w:highlight w:val="none"/>
                <w:lang w:val="en-US" w:eastAsia="zh-CN"/>
              </w:rPr>
            </w:pPr>
            <w:r>
              <w:rPr>
                <w:rStyle w:val="25"/>
                <w:rFonts w:hint="eastAsia" w:asciiTheme="majorEastAsia" w:hAnsiTheme="majorEastAsia" w:eastAsiaTheme="majorEastAsia" w:cstheme="majorEastAsia"/>
                <w:b w:val="0"/>
                <w:bCs/>
                <w:color w:val="auto"/>
                <w:sz w:val="24"/>
                <w:highlight w:val="none"/>
                <w:lang w:val="en-US" w:eastAsia="zh-CN"/>
              </w:rPr>
              <w:t>4.2</w:t>
            </w:r>
            <w:r>
              <w:rPr>
                <w:rStyle w:val="25"/>
                <w:rFonts w:hint="eastAsia" w:asciiTheme="majorEastAsia" w:hAnsiTheme="majorEastAsia" w:eastAsiaTheme="majorEastAsia" w:cstheme="majorEastAsia"/>
                <w:b w:val="0"/>
                <w:bCs/>
                <w:color w:val="auto"/>
                <w:sz w:val="24"/>
                <w:highlight w:val="none"/>
              </w:rPr>
              <w:t>最终验收在招标人指定的安装现场进行，</w:t>
            </w:r>
            <w:r>
              <w:rPr>
                <w:rStyle w:val="25"/>
                <w:rFonts w:hint="eastAsia" w:asciiTheme="majorEastAsia" w:hAnsiTheme="majorEastAsia" w:eastAsiaTheme="majorEastAsia" w:cstheme="majorEastAsia"/>
                <w:b w:val="0"/>
                <w:bCs/>
                <w:color w:val="auto"/>
                <w:sz w:val="24"/>
                <w:highlight w:val="none"/>
                <w:lang w:eastAsia="zh-CN"/>
              </w:rPr>
              <w:t>并向行业主管部门申请最终验收，期间</w:t>
            </w:r>
            <w:r>
              <w:rPr>
                <w:rStyle w:val="25"/>
                <w:rFonts w:hint="eastAsia" w:asciiTheme="majorEastAsia" w:hAnsiTheme="majorEastAsia" w:eastAsiaTheme="majorEastAsia" w:cstheme="majorEastAsia"/>
                <w:b w:val="0"/>
                <w:bCs/>
                <w:color w:val="auto"/>
                <w:sz w:val="24"/>
                <w:highlight w:val="none"/>
              </w:rPr>
              <w:t>所发生的一切费用由中标人承担。</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Style w:val="25"/>
          <w:rFonts w:hint="eastAsia" w:asciiTheme="majorEastAsia" w:hAnsiTheme="majorEastAsia" w:eastAsiaTheme="majorEastAsia" w:cstheme="majorEastAsia"/>
          <w:color w:val="auto"/>
          <w:sz w:val="24"/>
          <w:highlight w:val="none"/>
        </w:rPr>
      </w:pPr>
      <w:r>
        <w:rPr>
          <w:rStyle w:val="25"/>
          <w:rFonts w:hint="eastAsia" w:asciiTheme="majorEastAsia" w:hAnsiTheme="majorEastAsia" w:eastAsiaTheme="majorEastAsia" w:cstheme="majorEastAsia"/>
          <w:color w:val="auto"/>
          <w:sz w:val="24"/>
          <w:highlight w:val="none"/>
          <w:lang w:val="en-US" w:eastAsia="zh-CN"/>
        </w:rPr>
        <w:t>7</w:t>
      </w:r>
      <w:r>
        <w:rPr>
          <w:rStyle w:val="25"/>
          <w:rFonts w:hint="eastAsia" w:asciiTheme="majorEastAsia" w:hAnsiTheme="majorEastAsia" w:eastAsiaTheme="majorEastAsia" w:cstheme="majorEastAsia"/>
          <w:color w:val="auto"/>
          <w:sz w:val="24"/>
          <w:highlight w:val="none"/>
        </w:rPr>
        <w:t xml:space="preserve">、支付方式数据表格 </w:t>
      </w:r>
    </w:p>
    <w:tbl>
      <w:tblPr>
        <w:tblStyle w:val="22"/>
        <w:tblW w:w="0" w:type="auto"/>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9"/>
        <w:gridCol w:w="7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widowControl/>
              <w:spacing w:line="440" w:lineRule="exact"/>
              <w:jc w:val="left"/>
              <w:rPr>
                <w:color w:val="auto"/>
                <w:highlight w:val="none"/>
                <w:vertAlign w:val="baseline"/>
              </w:rPr>
            </w:pPr>
            <w:r>
              <w:rPr>
                <w:rFonts w:hint="eastAsia" w:asciiTheme="majorEastAsia" w:hAnsiTheme="majorEastAsia" w:eastAsiaTheme="majorEastAsia" w:cstheme="majorEastAsia"/>
                <w:b/>
                <w:bCs/>
                <w:color w:val="auto"/>
                <w:kern w:val="0"/>
                <w:sz w:val="24"/>
                <w:highlight w:val="none"/>
              </w:rPr>
              <w:t>支付期次</w:t>
            </w:r>
          </w:p>
        </w:tc>
        <w:tc>
          <w:tcPr>
            <w:tcW w:w="7141" w:type="dxa"/>
            <w:vAlign w:val="center"/>
          </w:tcPr>
          <w:p>
            <w:pPr>
              <w:widowControl/>
              <w:spacing w:line="400" w:lineRule="exact"/>
              <w:jc w:val="left"/>
              <w:rPr>
                <w:color w:val="auto"/>
                <w:highlight w:val="none"/>
                <w:vertAlign w:val="baseline"/>
              </w:rPr>
            </w:pPr>
            <w:r>
              <w:rPr>
                <w:rFonts w:hint="eastAsia" w:asciiTheme="majorEastAsia" w:hAnsiTheme="majorEastAsia" w:eastAsiaTheme="majorEastAsia" w:cstheme="majorEastAsia"/>
                <w:b/>
                <w:bCs/>
                <w:color w:val="auto"/>
                <w:kern w:val="0"/>
                <w:sz w:val="24"/>
                <w:highlight w:val="none"/>
              </w:rPr>
              <w:t>支付期次说明（</w:t>
            </w:r>
            <w:r>
              <w:rPr>
                <w:rFonts w:hint="eastAsia" w:asciiTheme="majorEastAsia" w:hAnsiTheme="majorEastAsia" w:eastAsiaTheme="majorEastAsia" w:cstheme="majorEastAsia"/>
                <w:b/>
                <w:bCs/>
                <w:color w:val="auto"/>
                <w:sz w:val="24"/>
                <w:highlight w:val="none"/>
              </w:rPr>
              <w:t>资金申请期间，不计利息）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widowControl/>
              <w:spacing w:line="360" w:lineRule="exact"/>
              <w:jc w:val="center"/>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1</w:t>
            </w:r>
          </w:p>
        </w:tc>
        <w:tc>
          <w:tcPr>
            <w:tcW w:w="7141" w:type="dxa"/>
            <w:vAlign w:val="center"/>
          </w:tcPr>
          <w:p>
            <w:pPr>
              <w:spacing w:line="400" w:lineRule="exact"/>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合同签订后，按照渔排完成安装的数量拨付货款。</w:t>
            </w:r>
          </w:p>
          <w:p>
            <w:pPr>
              <w:spacing w:line="400" w:lineRule="exact"/>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中标人完成全塑胶养殖渔排200口的安装固锚后，在收到中标人提供等额正式发票10个工作日内，招标人支付至合同总额的5%；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widowControl/>
              <w:spacing w:line="360" w:lineRule="exact"/>
              <w:jc w:val="center"/>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2</w:t>
            </w:r>
          </w:p>
        </w:tc>
        <w:tc>
          <w:tcPr>
            <w:tcW w:w="7141" w:type="dxa"/>
            <w:vAlign w:val="center"/>
          </w:tcPr>
          <w:p>
            <w:pPr>
              <w:spacing w:line="400" w:lineRule="exact"/>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中标人完成全塑胶养殖渔排500口的安装固锚后，在收到中标人提供等额正式发票10个工作日内，招标人支付至合同总额的15%；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widowControl/>
              <w:spacing w:line="360" w:lineRule="exact"/>
              <w:jc w:val="center"/>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3</w:t>
            </w:r>
          </w:p>
        </w:tc>
        <w:tc>
          <w:tcPr>
            <w:tcW w:w="7141" w:type="dxa"/>
            <w:vAlign w:val="center"/>
          </w:tcPr>
          <w:p>
            <w:pPr>
              <w:spacing w:line="400" w:lineRule="exact"/>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中标人完成全塑胶养殖渔排1000口的安装固锚后，在收到中标人提供等额正式发票10个工作日内，招标人支付至合同总额的30%；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widowControl/>
              <w:spacing w:line="360" w:lineRule="exact"/>
              <w:jc w:val="center"/>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4</w:t>
            </w:r>
          </w:p>
        </w:tc>
        <w:tc>
          <w:tcPr>
            <w:tcW w:w="7141" w:type="dxa"/>
            <w:vAlign w:val="center"/>
          </w:tcPr>
          <w:p>
            <w:pPr>
              <w:spacing w:line="400" w:lineRule="exact"/>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中标人完成全塑胶养殖渔排1500口的安装固锚后，在收到中标人提供等额正式发票10个工作日内，招标人支付至合同总额的45%；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widowControl/>
              <w:spacing w:line="360" w:lineRule="exact"/>
              <w:jc w:val="center"/>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5</w:t>
            </w:r>
          </w:p>
        </w:tc>
        <w:tc>
          <w:tcPr>
            <w:tcW w:w="7141" w:type="dxa"/>
            <w:vAlign w:val="center"/>
          </w:tcPr>
          <w:p>
            <w:pPr>
              <w:spacing w:line="400" w:lineRule="exact"/>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中标人完成2000口全塑胶养殖渔排与4口深水抗风浪网箱的安装固锚后，在收到中标人提供等额正式发票10个工作日内，招标人支付至合同总额的60%；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widowControl/>
              <w:spacing w:line="360" w:lineRule="exact"/>
              <w:jc w:val="center"/>
              <w:rPr>
                <w:rFonts w:hint="default"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6</w:t>
            </w:r>
          </w:p>
        </w:tc>
        <w:tc>
          <w:tcPr>
            <w:tcW w:w="7141" w:type="dxa"/>
            <w:vAlign w:val="center"/>
          </w:tcPr>
          <w:p>
            <w:pPr>
              <w:spacing w:line="400" w:lineRule="exact"/>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中标人通过</w:t>
            </w:r>
            <w:r>
              <w:rPr>
                <w:rFonts w:hint="eastAsia" w:ascii="宋体" w:hAnsi="宋体" w:cs="Times New Roman"/>
                <w:color w:val="auto"/>
                <w:kern w:val="2"/>
                <w:sz w:val="24"/>
                <w:szCs w:val="24"/>
                <w:highlight w:val="none"/>
                <w:lang w:val="en-US" w:eastAsia="zh-CN" w:bidi="ar-SA"/>
              </w:rPr>
              <w:t>行业</w:t>
            </w:r>
            <w:r>
              <w:rPr>
                <w:rFonts w:hint="eastAsia" w:ascii="宋体" w:hAnsi="宋体" w:eastAsia="宋体" w:cs="Times New Roman"/>
                <w:color w:val="auto"/>
                <w:kern w:val="2"/>
                <w:sz w:val="24"/>
                <w:szCs w:val="24"/>
                <w:highlight w:val="none"/>
                <w:lang w:val="en-US" w:eastAsia="zh-CN" w:bidi="ar-SA"/>
              </w:rPr>
              <w:t>主管部门验收合格后，在收到中标人提供等额正式发票10个工作日内，招标人支付至合同总额的75%；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widowControl/>
              <w:spacing w:line="360" w:lineRule="exact"/>
              <w:jc w:val="center"/>
              <w:rPr>
                <w:rFonts w:hint="default"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7</w:t>
            </w:r>
          </w:p>
        </w:tc>
        <w:tc>
          <w:tcPr>
            <w:tcW w:w="7141" w:type="dxa"/>
            <w:vAlign w:val="center"/>
          </w:tcPr>
          <w:p>
            <w:pPr>
              <w:spacing w:line="400" w:lineRule="exact"/>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招标人向</w:t>
            </w:r>
            <w:r>
              <w:rPr>
                <w:rFonts w:hint="eastAsia" w:ascii="宋体" w:hAnsi="宋体" w:cs="Times New Roman"/>
                <w:color w:val="auto"/>
                <w:kern w:val="2"/>
                <w:sz w:val="24"/>
                <w:szCs w:val="24"/>
                <w:highlight w:val="none"/>
                <w:lang w:val="en-US" w:eastAsia="zh-CN" w:bidi="ar-SA"/>
              </w:rPr>
              <w:t>行业</w:t>
            </w:r>
            <w:r>
              <w:rPr>
                <w:rFonts w:hint="eastAsia" w:ascii="宋体" w:hAnsi="宋体" w:eastAsia="宋体" w:cs="Times New Roman"/>
                <w:color w:val="auto"/>
                <w:kern w:val="2"/>
                <w:sz w:val="24"/>
                <w:szCs w:val="24"/>
                <w:highlight w:val="none"/>
                <w:lang w:val="en-US" w:eastAsia="zh-CN" w:bidi="ar-SA"/>
              </w:rPr>
              <w:t>主管部门申请补助资金，且该补助资金下达甲方单位后，在收到中标人提供等额正式发票10个工作日内，招标人支付至合同总额的90%；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widowControl/>
              <w:spacing w:line="360" w:lineRule="exact"/>
              <w:jc w:val="center"/>
              <w:rPr>
                <w:rFonts w:hint="default"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8</w:t>
            </w:r>
          </w:p>
        </w:tc>
        <w:tc>
          <w:tcPr>
            <w:tcW w:w="7141" w:type="dxa"/>
            <w:vAlign w:val="center"/>
          </w:tcPr>
          <w:p>
            <w:pPr>
              <w:spacing w:line="400" w:lineRule="exact"/>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合同金额余下的10%作为项目质保金，第一年质保期结束，在收到中标人提供等额正式发票10个工作日内，招标人支付至合同总额的92%，第二年质保期结束，在收到中标人提供等额正式发票10个工作日内，招标人支付至合同总额的95%，第三年质保期结束，在收到中标人提供等额正式发票10个工作日内，招标人支付至合同总额的100%</w:t>
            </w:r>
            <w:r>
              <w:rPr>
                <w:rFonts w:hint="eastAsia" w:ascii="宋体" w:hAnsi="宋体" w:cs="Times New Roman"/>
                <w:color w:val="auto"/>
                <w:kern w:val="2"/>
                <w:sz w:val="24"/>
                <w:szCs w:val="24"/>
                <w:highlight w:val="none"/>
                <w:lang w:val="en-US" w:eastAsia="zh-CN" w:bidi="ar-SA"/>
              </w:rPr>
              <w:t>。</w:t>
            </w:r>
          </w:p>
        </w:tc>
      </w:tr>
    </w:tbl>
    <w:p>
      <w:pPr>
        <w:spacing w:line="400" w:lineRule="exact"/>
        <w:rPr>
          <w:rFonts w:hint="default" w:asciiTheme="majorEastAsia" w:hAnsiTheme="majorEastAsia" w:eastAsiaTheme="majorEastAsia" w:cstheme="majorEastAsia"/>
          <w:color w:val="auto"/>
          <w:highlight w:val="none"/>
          <w:lang w:val="en-US" w:eastAsia="zh-CN"/>
        </w:rPr>
      </w:pPr>
      <w:r>
        <w:rPr>
          <w:rFonts w:hint="eastAsia" w:asciiTheme="majorEastAsia" w:hAnsiTheme="majorEastAsia" w:eastAsiaTheme="majorEastAsia" w:cstheme="majorEastAsia"/>
          <w:b/>
          <w:bCs/>
          <w:color w:val="auto"/>
          <w:sz w:val="24"/>
          <w:highlight w:val="none"/>
          <w:lang w:val="en-US" w:eastAsia="zh-CN"/>
        </w:rPr>
        <w:t>8</w:t>
      </w:r>
      <w:r>
        <w:rPr>
          <w:rFonts w:hint="eastAsia" w:asciiTheme="majorEastAsia" w:hAnsiTheme="majorEastAsia" w:eastAsiaTheme="majorEastAsia" w:cstheme="majorEastAsia"/>
          <w:b/>
          <w:bCs/>
          <w:color w:val="auto"/>
          <w:sz w:val="24"/>
          <w:highlight w:val="none"/>
        </w:rPr>
        <w:t>、与本批次招标内容相关的要求</w:t>
      </w:r>
    </w:p>
    <w:p>
      <w:pPr>
        <w:pStyle w:val="18"/>
        <w:widowControl/>
        <w:spacing w:line="440" w:lineRule="exact"/>
        <w:ind w:firstLine="480" w:firstLineChars="200"/>
        <w:rPr>
          <w:rFonts w:hint="eastAsia" w:asciiTheme="majorEastAsia" w:hAnsiTheme="majorEastAsia" w:eastAsiaTheme="majorEastAsia" w:cstheme="majorEastAsia"/>
          <w:color w:val="auto"/>
          <w:highlight w:val="none"/>
          <w:lang w:val="en-US" w:eastAsia="zh-CN"/>
        </w:rPr>
      </w:pPr>
      <w:r>
        <w:rPr>
          <w:rFonts w:hint="eastAsia" w:asciiTheme="majorEastAsia" w:hAnsiTheme="majorEastAsia" w:eastAsiaTheme="majorEastAsia" w:cstheme="majorEastAsia"/>
          <w:color w:val="auto"/>
          <w:highlight w:val="none"/>
          <w:lang w:val="en-US" w:eastAsia="zh-CN"/>
        </w:rPr>
        <w:t>1）报价的2000口全塑胶养殖渔排与4口深水抗风浪网箱必须符合《莆田市海上养殖设施建设技术要求（试行）》的通知》莆海渔〔2021〕78号及“《福建省海洋与渔业局关于印发《福建省设施渔业项目建设技术要求（2018）》的通知》〔2018〕214号中的技术要求。</w:t>
      </w:r>
    </w:p>
    <w:p>
      <w:pPr>
        <w:pStyle w:val="18"/>
        <w:widowControl/>
        <w:spacing w:line="440" w:lineRule="exact"/>
        <w:ind w:firstLine="480" w:firstLineChars="200"/>
        <w:rPr>
          <w:rFonts w:hint="eastAsia" w:asciiTheme="majorEastAsia" w:hAnsiTheme="majorEastAsia" w:eastAsiaTheme="majorEastAsia" w:cstheme="majorEastAsia"/>
          <w:color w:val="auto"/>
          <w:highlight w:val="none"/>
          <w:lang w:val="en-US" w:eastAsia="zh-CN"/>
        </w:rPr>
      </w:pPr>
      <w:r>
        <w:rPr>
          <w:rFonts w:hint="eastAsia" w:asciiTheme="majorEastAsia" w:hAnsiTheme="majorEastAsia" w:eastAsiaTheme="majorEastAsia" w:cstheme="majorEastAsia"/>
          <w:color w:val="auto"/>
          <w:highlight w:val="none"/>
          <w:lang w:val="en-US" w:eastAsia="zh-CN"/>
        </w:rPr>
        <w:t>2）供货的2000口全塑胶养殖渔排与4口抗风浪网箱，每个单元需统一颜色（如蓝色、黄色等颜色）、所选颜色需报备给招标人审核。渔排与网箱放置前需根据现场实际情况制定布置方案与布置图（包含不仅限于CAD图纸与效果图），期间产生踏勘、测量设计、图纸等费用由中标人自行承担，招标人同意布置方案后方可进行锚固。</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440" w:lineRule="exact"/>
        <w:ind w:firstLine="480" w:firstLineChars="200"/>
        <w:jc w:val="both"/>
        <w:textAlignment w:val="auto"/>
        <w:rPr>
          <w:rFonts w:hint="eastAsia" w:asciiTheme="majorEastAsia" w:hAnsiTheme="majorEastAsia" w:eastAsiaTheme="majorEastAsia" w:cstheme="majorEastAsia"/>
          <w:b w:val="0"/>
          <w:bCs w:val="0"/>
          <w:color w:val="auto"/>
          <w:kern w:val="2"/>
          <w:sz w:val="24"/>
          <w:szCs w:val="24"/>
          <w:highlight w:val="none"/>
          <w:lang w:val="en-US" w:eastAsia="zh-CN" w:bidi="ar-SA"/>
        </w:rPr>
      </w:pPr>
      <w:r>
        <w:rPr>
          <w:rFonts w:hint="eastAsia" w:asciiTheme="majorEastAsia" w:hAnsiTheme="majorEastAsia" w:eastAsiaTheme="majorEastAsia" w:cstheme="majorEastAsia"/>
          <w:b w:val="0"/>
          <w:bCs w:val="0"/>
          <w:color w:val="auto"/>
          <w:kern w:val="2"/>
          <w:sz w:val="24"/>
          <w:szCs w:val="24"/>
          <w:highlight w:val="none"/>
          <w:lang w:val="en-US" w:eastAsia="zh-CN" w:bidi="ar-SA"/>
        </w:rPr>
        <w:t>3）提供项目建设过程中的航拍图及影像资料。</w:t>
      </w:r>
    </w:p>
    <w:p>
      <w:pPr>
        <w:pStyle w:val="18"/>
        <w:widowControl/>
        <w:spacing w:line="440" w:lineRule="exact"/>
        <w:ind w:firstLine="480" w:firstLineChars="200"/>
        <w:rPr>
          <w:rFonts w:hint="eastAsia" w:asciiTheme="majorEastAsia" w:hAnsiTheme="majorEastAsia" w:eastAsiaTheme="majorEastAsia" w:cstheme="majorEastAsia"/>
          <w:color w:val="auto"/>
          <w:highlight w:val="none"/>
          <w:lang w:val="en-US" w:eastAsia="zh-CN"/>
        </w:rPr>
      </w:pPr>
      <w:r>
        <w:rPr>
          <w:rFonts w:hint="eastAsia" w:asciiTheme="majorEastAsia" w:hAnsiTheme="majorEastAsia" w:eastAsiaTheme="majorEastAsia" w:cstheme="majorEastAsia"/>
          <w:color w:val="auto"/>
          <w:highlight w:val="none"/>
          <w:lang w:val="en-US" w:eastAsia="zh-CN"/>
        </w:rPr>
        <w:t>4）本批招标应按合同包投标，投标人可以对一个或全部合同进行投标，但不得将合同包中的部分内容进行拆分投标或漏项投标，拆分投标或漏项投标无效。投标人必须列明所投项目的每一单项的单价、小计和总计。</w:t>
      </w:r>
    </w:p>
    <w:p>
      <w:pPr>
        <w:pStyle w:val="18"/>
        <w:widowControl/>
        <w:spacing w:line="440" w:lineRule="exact"/>
        <w:ind w:firstLine="480" w:firstLineChars="200"/>
        <w:rPr>
          <w:rFonts w:hint="eastAsia" w:asciiTheme="majorEastAsia" w:hAnsiTheme="majorEastAsia" w:eastAsiaTheme="majorEastAsia" w:cstheme="majorEastAsia"/>
          <w:color w:val="auto"/>
          <w:highlight w:val="none"/>
          <w:lang w:val="en-US" w:eastAsia="zh-CN"/>
        </w:rPr>
      </w:pPr>
      <w:r>
        <w:rPr>
          <w:rFonts w:hint="eastAsia" w:asciiTheme="majorEastAsia" w:hAnsiTheme="majorEastAsia" w:eastAsiaTheme="majorEastAsia" w:cstheme="majorEastAsia"/>
          <w:color w:val="auto"/>
          <w:highlight w:val="none"/>
          <w:lang w:val="en-US" w:eastAsia="zh-CN"/>
        </w:rPr>
        <w:t>5）投标总价应为货物送达采购人指定地点、经采购人验收合格并交付使用及售后服务等所有可能发生的费用，</w:t>
      </w:r>
      <w:bookmarkStart w:id="1" w:name="OLE_LINK3"/>
      <w:r>
        <w:rPr>
          <w:rFonts w:hint="eastAsia" w:asciiTheme="majorEastAsia" w:hAnsiTheme="majorEastAsia" w:eastAsiaTheme="majorEastAsia" w:cstheme="majorEastAsia"/>
          <w:color w:val="auto"/>
          <w:highlight w:val="none"/>
          <w:lang w:val="en-US" w:eastAsia="zh-CN"/>
        </w:rPr>
        <w:t>包括</w:t>
      </w:r>
      <w:r>
        <w:rPr>
          <w:rFonts w:hint="eastAsia" w:asciiTheme="majorEastAsia" w:hAnsiTheme="majorEastAsia" w:eastAsiaTheme="majorEastAsia" w:cstheme="majorEastAsia"/>
          <w:color w:val="auto"/>
          <w:sz w:val="24"/>
          <w:szCs w:val="24"/>
          <w:highlight w:val="none"/>
        </w:rPr>
        <w:t>塑胶渔排制造、</w:t>
      </w:r>
      <w:r>
        <w:rPr>
          <w:rFonts w:hint="eastAsia" w:asciiTheme="majorEastAsia" w:hAnsiTheme="majorEastAsia" w:eastAsiaTheme="majorEastAsia" w:cstheme="majorEastAsia"/>
          <w:color w:val="auto"/>
          <w:sz w:val="24"/>
          <w:szCs w:val="24"/>
          <w:highlight w:val="none"/>
          <w:lang w:eastAsia="zh-CN"/>
        </w:rPr>
        <w:t>生态</w:t>
      </w:r>
      <w:r>
        <w:rPr>
          <w:rFonts w:hint="eastAsia" w:asciiTheme="majorEastAsia" w:hAnsiTheme="majorEastAsia" w:eastAsiaTheme="majorEastAsia" w:cstheme="majorEastAsia"/>
          <w:color w:val="auto"/>
          <w:sz w:val="24"/>
          <w:szCs w:val="24"/>
          <w:highlight w:val="none"/>
        </w:rPr>
        <w:t>养殖</w:t>
      </w:r>
      <w:r>
        <w:rPr>
          <w:rFonts w:hint="eastAsia" w:asciiTheme="majorEastAsia" w:hAnsiTheme="majorEastAsia" w:eastAsiaTheme="majorEastAsia" w:cstheme="majorEastAsia"/>
          <w:color w:val="auto"/>
          <w:sz w:val="24"/>
          <w:szCs w:val="24"/>
          <w:highlight w:val="none"/>
          <w:lang w:eastAsia="zh-CN"/>
        </w:rPr>
        <w:t>网箱</w:t>
      </w:r>
      <w:r>
        <w:rPr>
          <w:rFonts w:hint="eastAsia" w:asciiTheme="majorEastAsia" w:hAnsiTheme="majorEastAsia" w:eastAsiaTheme="majorEastAsia" w:cstheme="majorEastAsia"/>
          <w:color w:val="auto"/>
          <w:sz w:val="24"/>
          <w:szCs w:val="24"/>
          <w:highlight w:val="none"/>
        </w:rPr>
        <w:t>平台、设计、包装、运输（送至招商单位指定地点）、</w:t>
      </w:r>
      <w:r>
        <w:rPr>
          <w:rFonts w:hint="eastAsia" w:asciiTheme="majorEastAsia" w:hAnsiTheme="majorEastAsia" w:eastAsiaTheme="majorEastAsia" w:cstheme="majorEastAsia"/>
          <w:color w:val="auto"/>
          <w:highlight w:val="none"/>
          <w:lang w:val="en-US" w:eastAsia="zh-CN"/>
        </w:rPr>
        <w:t>产品检验检测、项目实施、采购保管、</w:t>
      </w:r>
      <w:r>
        <w:rPr>
          <w:rFonts w:hint="eastAsia" w:asciiTheme="majorEastAsia" w:hAnsiTheme="majorEastAsia" w:eastAsiaTheme="majorEastAsia" w:cstheme="majorEastAsia"/>
          <w:color w:val="auto"/>
          <w:sz w:val="24"/>
          <w:szCs w:val="24"/>
          <w:highlight w:val="none"/>
        </w:rPr>
        <w:t>装卸、税金、安装、调试、备品备件、专用工具、特殊工具、</w:t>
      </w:r>
      <w:r>
        <w:rPr>
          <w:rFonts w:hint="eastAsia" w:asciiTheme="majorEastAsia" w:hAnsiTheme="majorEastAsia" w:eastAsiaTheme="majorEastAsia" w:cstheme="majorEastAsia"/>
          <w:color w:val="auto"/>
          <w:highlight w:val="none"/>
          <w:lang w:val="en-US" w:eastAsia="zh-CN"/>
        </w:rPr>
        <w:t>招标服务费、期间产生踏勘、测量设计、图纸、</w:t>
      </w:r>
      <w:r>
        <w:rPr>
          <w:rFonts w:hint="eastAsia" w:asciiTheme="majorEastAsia" w:hAnsiTheme="majorEastAsia" w:eastAsiaTheme="majorEastAsia" w:cstheme="majorEastAsia"/>
          <w:color w:val="auto"/>
          <w:sz w:val="24"/>
          <w:szCs w:val="24"/>
          <w:highlight w:val="none"/>
        </w:rPr>
        <w:t>验收、技术培训、保修等</w:t>
      </w:r>
      <w:r>
        <w:rPr>
          <w:rFonts w:hint="eastAsia" w:asciiTheme="majorEastAsia" w:hAnsiTheme="majorEastAsia" w:eastAsiaTheme="majorEastAsia" w:cstheme="majorEastAsia"/>
          <w:color w:val="auto"/>
          <w:highlight w:val="none"/>
          <w:lang w:val="en-US" w:eastAsia="zh-CN"/>
        </w:rPr>
        <w:t>所有费用，</w:t>
      </w:r>
      <w:r>
        <w:rPr>
          <w:rFonts w:hint="eastAsia" w:asciiTheme="majorEastAsia" w:hAnsiTheme="majorEastAsia" w:eastAsiaTheme="majorEastAsia" w:cstheme="majorEastAsia"/>
          <w:color w:val="auto"/>
          <w:sz w:val="24"/>
          <w:szCs w:val="24"/>
          <w:highlight w:val="none"/>
        </w:rPr>
        <w:t>以及所有根据合同或其它原因应由供应商支付的其它应缴的费用。</w:t>
      </w:r>
      <w:r>
        <w:rPr>
          <w:rFonts w:hint="eastAsia" w:asciiTheme="majorEastAsia" w:hAnsiTheme="majorEastAsia" w:eastAsiaTheme="majorEastAsia" w:cstheme="majorEastAsia"/>
          <w:color w:val="auto"/>
          <w:highlight w:val="none"/>
          <w:lang w:val="en-US" w:eastAsia="zh-CN"/>
        </w:rPr>
        <w:t>。</w:t>
      </w:r>
      <w:bookmarkEnd w:id="1"/>
    </w:p>
    <w:p>
      <w:pPr>
        <w:pStyle w:val="18"/>
        <w:widowControl/>
        <w:spacing w:line="440" w:lineRule="exact"/>
        <w:ind w:firstLine="480" w:firstLineChars="200"/>
        <w:rPr>
          <w:rFonts w:hint="eastAsia" w:asciiTheme="majorEastAsia" w:hAnsiTheme="majorEastAsia" w:eastAsiaTheme="majorEastAsia" w:cstheme="majorEastAsia"/>
          <w:color w:val="auto"/>
          <w:highlight w:val="none"/>
          <w:lang w:val="en-US" w:eastAsia="zh-CN"/>
        </w:rPr>
      </w:pPr>
      <w:r>
        <w:rPr>
          <w:rFonts w:hint="eastAsia" w:asciiTheme="majorEastAsia" w:hAnsiTheme="majorEastAsia" w:eastAsiaTheme="majorEastAsia" w:cstheme="majorEastAsia"/>
          <w:color w:val="auto"/>
          <w:highlight w:val="none"/>
          <w:lang w:val="en-US" w:eastAsia="zh-CN"/>
        </w:rPr>
        <w:t>6）投标人提供的产品的制造标准、安装标准及技术规范等必须符合相应的国家标准，行业标准及规范要求。</w:t>
      </w:r>
    </w:p>
    <w:p>
      <w:pPr>
        <w:pStyle w:val="18"/>
        <w:widowControl/>
        <w:spacing w:line="440" w:lineRule="exact"/>
        <w:ind w:firstLine="480" w:firstLineChars="200"/>
        <w:rPr>
          <w:rFonts w:hint="eastAsia" w:asciiTheme="majorEastAsia" w:hAnsiTheme="majorEastAsia" w:eastAsiaTheme="majorEastAsia" w:cstheme="majorEastAsia"/>
          <w:color w:val="auto"/>
          <w:highlight w:val="none"/>
          <w:lang w:val="en-US" w:eastAsia="zh-CN"/>
        </w:rPr>
      </w:pPr>
      <w:r>
        <w:rPr>
          <w:rFonts w:hint="eastAsia" w:asciiTheme="majorEastAsia" w:hAnsiTheme="majorEastAsia" w:eastAsiaTheme="majorEastAsia" w:cstheme="majorEastAsia"/>
          <w:color w:val="auto"/>
          <w:highlight w:val="none"/>
          <w:lang w:val="en-US" w:eastAsia="zh-CN"/>
        </w:rPr>
        <w:t>7）投标货物必须符合生产国、制造商、原品牌设备、原厂原包装的要求，技术指标应符合产品制造商公布的标准和我国国内相关标准。所有设备均须标明功能、使用说明、所含附件及其用途。</w:t>
      </w:r>
    </w:p>
    <w:p>
      <w:pPr>
        <w:pStyle w:val="2"/>
        <w:jc w:val="both"/>
        <w:rPr>
          <w:rFonts w:hint="eastAsia" w:asciiTheme="majorEastAsia" w:hAnsiTheme="majorEastAsia" w:eastAsiaTheme="majorEastAsia" w:cstheme="majorEastAsia"/>
          <w:b/>
          <w:bCs/>
          <w:color w:val="auto"/>
          <w:kern w:val="2"/>
          <w:sz w:val="24"/>
          <w:szCs w:val="24"/>
          <w:highlight w:val="none"/>
          <w:lang w:val="en-US" w:eastAsia="zh-CN" w:bidi="ar-SA"/>
        </w:rPr>
      </w:pPr>
      <w:r>
        <w:rPr>
          <w:rFonts w:hint="eastAsia" w:asciiTheme="majorEastAsia" w:hAnsiTheme="majorEastAsia" w:eastAsiaTheme="majorEastAsia" w:cstheme="majorEastAsia"/>
          <w:b/>
          <w:bCs/>
          <w:color w:val="auto"/>
          <w:kern w:val="2"/>
          <w:sz w:val="24"/>
          <w:szCs w:val="24"/>
          <w:highlight w:val="none"/>
          <w:lang w:val="en-US" w:eastAsia="zh-CN" w:bidi="ar-SA"/>
        </w:rPr>
        <w:t>9、售后服务要求</w:t>
      </w:r>
    </w:p>
    <w:p>
      <w:pPr>
        <w:pStyle w:val="18"/>
        <w:widowControl/>
        <w:spacing w:line="440" w:lineRule="exact"/>
        <w:ind w:firstLine="480" w:firstLineChars="200"/>
        <w:rPr>
          <w:rFonts w:hint="eastAsia" w:asciiTheme="majorEastAsia" w:hAnsiTheme="majorEastAsia" w:eastAsiaTheme="majorEastAsia" w:cstheme="majorEastAsia"/>
          <w:color w:val="auto"/>
          <w:highlight w:val="none"/>
          <w:lang w:eastAsia="zh-CN"/>
        </w:rPr>
      </w:pPr>
      <w:r>
        <w:rPr>
          <w:rFonts w:hint="eastAsia" w:asciiTheme="majorEastAsia" w:hAnsiTheme="majorEastAsia" w:eastAsiaTheme="majorEastAsia" w:cstheme="majorEastAsia"/>
          <w:color w:val="auto"/>
          <w:highlight w:val="none"/>
          <w:lang w:val="en-US" w:eastAsia="zh-CN"/>
        </w:rPr>
        <w:t>1）</w:t>
      </w:r>
      <w:r>
        <w:rPr>
          <w:rFonts w:hint="eastAsia" w:asciiTheme="majorEastAsia" w:hAnsiTheme="majorEastAsia" w:eastAsiaTheme="majorEastAsia" w:cstheme="majorEastAsia"/>
          <w:color w:val="auto"/>
          <w:highlight w:val="none"/>
          <w:lang w:eastAsia="zh-CN"/>
        </w:rPr>
        <w:t>最低免费质量质保期：产品最终验收合格后</w:t>
      </w:r>
      <w:r>
        <w:rPr>
          <w:rFonts w:hint="eastAsia" w:asciiTheme="majorEastAsia" w:hAnsiTheme="majorEastAsia" w:eastAsiaTheme="majorEastAsia" w:cstheme="majorEastAsia"/>
          <w:color w:val="auto"/>
          <w:highlight w:val="none"/>
          <w:lang w:val="en-US" w:eastAsia="zh-CN"/>
        </w:rPr>
        <w:t>3</w:t>
      </w:r>
      <w:r>
        <w:rPr>
          <w:rFonts w:hint="eastAsia" w:asciiTheme="majorEastAsia" w:hAnsiTheme="majorEastAsia" w:eastAsiaTheme="majorEastAsia" w:cstheme="majorEastAsia"/>
          <w:color w:val="auto"/>
          <w:highlight w:val="none"/>
          <w:lang w:eastAsia="zh-CN"/>
        </w:rPr>
        <w:t>年（</w:t>
      </w:r>
      <w:r>
        <w:rPr>
          <w:rFonts w:hint="eastAsia" w:asciiTheme="majorEastAsia" w:hAnsiTheme="majorEastAsia" w:eastAsiaTheme="majorEastAsia" w:cstheme="majorEastAsia"/>
          <w:color w:val="auto"/>
          <w:highlight w:val="none"/>
          <w:lang w:val="en-US" w:eastAsia="zh-CN"/>
        </w:rPr>
        <w:t>若投标人投标时有响应增加质保期限的，质保期时间顺延</w:t>
      </w:r>
      <w:r>
        <w:rPr>
          <w:rFonts w:hint="eastAsia" w:asciiTheme="majorEastAsia" w:hAnsiTheme="majorEastAsia" w:eastAsiaTheme="majorEastAsia" w:cstheme="majorEastAsia"/>
          <w:color w:val="auto"/>
          <w:highlight w:val="none"/>
          <w:lang w:eastAsia="zh-CN"/>
        </w:rPr>
        <w:t>）。在质保期内非因采购人或养殖户原因而出现的质量问题，由中标人负责。中标人负责包修、包换或者包退，并承担相应费用。</w:t>
      </w:r>
    </w:p>
    <w:p>
      <w:pPr>
        <w:pStyle w:val="18"/>
        <w:widowControl/>
        <w:spacing w:line="440" w:lineRule="exact"/>
        <w:ind w:firstLine="480" w:firstLineChars="200"/>
        <w:rPr>
          <w:rFonts w:hint="eastAsia" w:asciiTheme="majorEastAsia" w:hAnsiTheme="majorEastAsia" w:eastAsiaTheme="majorEastAsia" w:cstheme="majorEastAsia"/>
          <w:color w:val="auto"/>
          <w:highlight w:val="none"/>
          <w:lang w:val="en-US" w:eastAsia="zh-CN"/>
        </w:rPr>
      </w:pPr>
      <w:r>
        <w:rPr>
          <w:rFonts w:hint="eastAsia" w:asciiTheme="majorEastAsia" w:hAnsiTheme="majorEastAsia" w:eastAsiaTheme="majorEastAsia" w:cstheme="majorEastAsia"/>
          <w:color w:val="auto"/>
          <w:highlight w:val="none"/>
          <w:lang w:val="en-US" w:eastAsia="zh-CN"/>
        </w:rPr>
        <w:t>2）质保期内锚绳和浮球若有损坏的，由中标人维修，在维修后须分析原因并制定相应方案，若次数过多且无法改善（维修费用超过合同总额的2%，），质保期时间顺延半年。</w:t>
      </w:r>
    </w:p>
    <w:p>
      <w:pPr>
        <w:pStyle w:val="18"/>
        <w:widowControl/>
        <w:spacing w:line="440" w:lineRule="exact"/>
        <w:ind w:firstLine="480" w:firstLineChars="200"/>
        <w:rPr>
          <w:rFonts w:hint="eastAsia" w:asciiTheme="majorEastAsia" w:hAnsiTheme="majorEastAsia" w:eastAsiaTheme="majorEastAsia" w:cstheme="majorEastAsia"/>
          <w:color w:val="auto"/>
          <w:highlight w:val="none"/>
          <w:lang w:eastAsia="zh-CN"/>
        </w:rPr>
      </w:pPr>
      <w:r>
        <w:rPr>
          <w:rFonts w:hint="eastAsia" w:asciiTheme="majorEastAsia" w:hAnsiTheme="majorEastAsia" w:eastAsiaTheme="majorEastAsia" w:cstheme="majorEastAsia"/>
          <w:color w:val="auto"/>
          <w:highlight w:val="none"/>
          <w:lang w:val="en-US" w:eastAsia="zh-CN"/>
        </w:rPr>
        <w:t>3）</w:t>
      </w:r>
      <w:r>
        <w:rPr>
          <w:rFonts w:hint="eastAsia" w:asciiTheme="majorEastAsia" w:hAnsiTheme="majorEastAsia" w:eastAsiaTheme="majorEastAsia" w:cstheme="majorEastAsia"/>
          <w:color w:val="auto"/>
          <w:highlight w:val="none"/>
          <w:lang w:eastAsia="zh-CN"/>
        </w:rPr>
        <w:t>所投</w:t>
      </w:r>
      <w:r>
        <w:rPr>
          <w:rFonts w:hint="eastAsia" w:asciiTheme="majorEastAsia" w:hAnsiTheme="majorEastAsia" w:eastAsiaTheme="majorEastAsia" w:cstheme="majorEastAsia"/>
          <w:color w:val="auto"/>
          <w:highlight w:val="none"/>
          <w:lang w:val="en-US" w:eastAsia="zh-CN"/>
        </w:rPr>
        <w:t>设施</w:t>
      </w:r>
      <w:r>
        <w:rPr>
          <w:rFonts w:hint="eastAsia" w:asciiTheme="majorEastAsia" w:hAnsiTheme="majorEastAsia" w:eastAsiaTheme="majorEastAsia" w:cstheme="majorEastAsia"/>
          <w:color w:val="auto"/>
          <w:highlight w:val="none"/>
          <w:lang w:eastAsia="zh-CN"/>
        </w:rPr>
        <w:t>质量保证期内（含所有附属</w:t>
      </w:r>
      <w:r>
        <w:rPr>
          <w:rFonts w:hint="eastAsia" w:asciiTheme="majorEastAsia" w:hAnsiTheme="majorEastAsia" w:eastAsiaTheme="majorEastAsia" w:cstheme="majorEastAsia"/>
          <w:color w:val="auto"/>
          <w:highlight w:val="none"/>
          <w:lang w:val="en-US" w:eastAsia="zh-CN"/>
        </w:rPr>
        <w:t>设施</w:t>
      </w:r>
      <w:r>
        <w:rPr>
          <w:rFonts w:hint="eastAsia" w:asciiTheme="majorEastAsia" w:hAnsiTheme="majorEastAsia" w:eastAsiaTheme="majorEastAsia" w:cstheme="majorEastAsia"/>
          <w:color w:val="auto"/>
          <w:highlight w:val="none"/>
          <w:lang w:eastAsia="zh-CN"/>
        </w:rPr>
        <w:t>），</w:t>
      </w:r>
      <w:r>
        <w:rPr>
          <w:rFonts w:hint="eastAsia" w:asciiTheme="majorEastAsia" w:hAnsiTheme="majorEastAsia" w:eastAsiaTheme="majorEastAsia" w:cstheme="majorEastAsia"/>
          <w:color w:val="auto"/>
          <w:highlight w:val="none"/>
          <w:lang w:val="en-US" w:eastAsia="zh-CN"/>
        </w:rPr>
        <w:t>设施</w:t>
      </w:r>
      <w:r>
        <w:rPr>
          <w:rFonts w:hint="eastAsia" w:asciiTheme="majorEastAsia" w:hAnsiTheme="majorEastAsia" w:eastAsiaTheme="majorEastAsia" w:cstheme="majorEastAsia"/>
          <w:color w:val="auto"/>
          <w:highlight w:val="none"/>
          <w:lang w:eastAsia="zh-CN"/>
        </w:rPr>
        <w:t>发生问题，中标人应在接到招标人通知后4小时内响应，并作出维修方案决定；中标人应在48小时内派工程师到达现场，提供免费维修服务。由此产生的费用由中标人负责。若无法修复，招标人有权要求中标人更换或退货（中标人无条件退还全部货款）。若中标人不及时维修或更换设备，招标人有权采取应急措施，费用从质保金中扣除。</w:t>
      </w:r>
    </w:p>
    <w:p>
      <w:pPr>
        <w:spacing w:line="360" w:lineRule="auto"/>
        <w:ind w:firstLine="480" w:firstLineChars="200"/>
        <w:jc w:val="left"/>
        <w:rPr>
          <w:rFonts w:hint="eastAsia" w:asciiTheme="majorEastAsia" w:hAnsiTheme="majorEastAsia" w:eastAsiaTheme="majorEastAsia" w:cstheme="majorEastAsia"/>
          <w:color w:val="auto"/>
          <w:highlight w:val="none"/>
          <w:lang w:val="en-US" w:eastAsia="zh-CN"/>
        </w:rPr>
      </w:pPr>
      <w:r>
        <w:rPr>
          <w:rFonts w:hint="eastAsia"/>
          <w:color w:val="auto"/>
          <w:sz w:val="24"/>
          <w:szCs w:val="24"/>
          <w:highlight w:val="none"/>
          <w:lang w:val="en-US" w:eastAsia="zh-CN"/>
        </w:rPr>
        <w:t>4）</w:t>
      </w:r>
      <w:r>
        <w:rPr>
          <w:rFonts w:hint="eastAsia"/>
          <w:color w:val="auto"/>
          <w:sz w:val="24"/>
          <w:szCs w:val="24"/>
          <w:highlight w:val="none"/>
        </w:rPr>
        <w:t>投标人视自身能力在投标文件中提供更优、更合理的维修服务承诺。</w:t>
      </w:r>
    </w:p>
    <w:p>
      <w:pPr>
        <w:numPr>
          <w:ilvl w:val="0"/>
          <w:numId w:val="0"/>
        </w:numPr>
        <w:spacing w:line="400" w:lineRule="exact"/>
        <w:jc w:val="left"/>
        <w:rPr>
          <w:rFonts w:hint="eastAsia" w:ascii="宋体" w:hAnsi="宋体" w:cs="宋体"/>
          <w:b/>
          <w:bCs/>
          <w:color w:val="auto"/>
          <w:sz w:val="24"/>
          <w:highlight w:val="none"/>
        </w:rPr>
      </w:pPr>
      <w:r>
        <w:rPr>
          <w:rFonts w:hint="eastAsia" w:ascii="宋体" w:hAnsi="宋体" w:cs="宋体"/>
          <w:b/>
          <w:bCs/>
          <w:color w:val="auto"/>
          <w:sz w:val="24"/>
          <w:highlight w:val="none"/>
          <w:lang w:val="en-US" w:eastAsia="zh-CN"/>
        </w:rPr>
        <w:t>10</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rPr>
        <w:t>违约责任</w:t>
      </w:r>
    </w:p>
    <w:p>
      <w:pPr>
        <w:pStyle w:val="18"/>
        <w:widowControl/>
        <w:shd w:val="clear" w:color="auto" w:fill="FFFFFF"/>
        <w:spacing w:line="440" w:lineRule="exact"/>
        <w:ind w:firstLine="480" w:firstLineChars="20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shd w:val="clear" w:color="auto" w:fill="FFFFFF"/>
          <w:lang w:val="en-US" w:eastAsia="zh-CN"/>
        </w:rPr>
        <w:t>1）</w:t>
      </w:r>
      <w:r>
        <w:rPr>
          <w:rFonts w:hint="eastAsia" w:asciiTheme="majorEastAsia" w:hAnsiTheme="majorEastAsia" w:eastAsiaTheme="majorEastAsia" w:cstheme="majorEastAsia"/>
          <w:color w:val="auto"/>
          <w:highlight w:val="none"/>
          <w:shd w:val="clear" w:color="auto" w:fill="FFFFFF"/>
        </w:rPr>
        <w:t>中标人</w:t>
      </w:r>
      <w:r>
        <w:rPr>
          <w:rFonts w:hint="eastAsia" w:asciiTheme="majorEastAsia" w:hAnsiTheme="majorEastAsia" w:eastAsiaTheme="majorEastAsia" w:cstheme="majorEastAsia"/>
          <w:color w:val="auto"/>
          <w:highlight w:val="none"/>
          <w:shd w:val="clear" w:color="auto" w:fill="FFFFFF"/>
          <w:lang w:eastAsia="zh-CN"/>
        </w:rPr>
        <w:t>不得</w:t>
      </w:r>
      <w:r>
        <w:rPr>
          <w:rFonts w:hint="eastAsia" w:asciiTheme="majorEastAsia" w:hAnsiTheme="majorEastAsia" w:eastAsiaTheme="majorEastAsia" w:cstheme="majorEastAsia"/>
          <w:color w:val="auto"/>
          <w:highlight w:val="none"/>
          <w:shd w:val="clear" w:color="auto" w:fill="FFFFFF"/>
        </w:rPr>
        <w:t>以任何名义和理由在中标后将中标项目的主体、非主体、关键性工作、非关键性工作进行转包、分包，在履行合同过程中如有发现，采购人有权单方终止合同，视为中标人违约，中标人违约对采购人造成的损失的，需另行支付相应的赔偿，并追究相关法律责任。</w:t>
      </w:r>
    </w:p>
    <w:p>
      <w:pPr>
        <w:pStyle w:val="18"/>
        <w:widowControl/>
        <w:shd w:val="clear" w:color="auto" w:fill="FFFFFF"/>
        <w:spacing w:line="440" w:lineRule="exact"/>
        <w:ind w:firstLine="480" w:firstLineChars="200"/>
        <w:rPr>
          <w:rFonts w:hint="eastAsia" w:asciiTheme="majorEastAsia" w:hAnsiTheme="majorEastAsia" w:eastAsiaTheme="majorEastAsia" w:cstheme="majorEastAsia"/>
          <w:color w:val="auto"/>
          <w:highlight w:val="none"/>
          <w:shd w:val="clear" w:color="auto" w:fill="FFFFFF"/>
          <w:lang w:val="en-US" w:eastAsia="zh-CN"/>
        </w:rPr>
      </w:pPr>
      <w:r>
        <w:rPr>
          <w:rFonts w:hint="eastAsia" w:asciiTheme="majorEastAsia" w:hAnsiTheme="majorEastAsia" w:eastAsiaTheme="majorEastAsia" w:cstheme="majorEastAsia"/>
          <w:color w:val="auto"/>
          <w:highlight w:val="none"/>
          <w:shd w:val="clear" w:color="auto" w:fill="FFFFFF"/>
          <w:lang w:val="en-US" w:eastAsia="zh-CN"/>
        </w:rPr>
        <w:t>2）中标人必须加强从生产到运输过程中(即到货前)的安全防护，在此过程中，如因中标人原因造成安全事故，由中标人自行承担一切责任。</w:t>
      </w:r>
    </w:p>
    <w:p>
      <w:pPr>
        <w:pStyle w:val="18"/>
        <w:widowControl/>
        <w:shd w:val="clear" w:color="auto" w:fill="FFFFFF"/>
        <w:spacing w:line="440" w:lineRule="exact"/>
        <w:ind w:firstLine="480" w:firstLineChars="200"/>
        <w:rPr>
          <w:rFonts w:hint="eastAsia" w:asciiTheme="majorEastAsia" w:hAnsiTheme="majorEastAsia" w:eastAsiaTheme="majorEastAsia" w:cstheme="majorEastAsia"/>
          <w:color w:val="auto"/>
          <w:highlight w:val="none"/>
          <w:shd w:val="clear" w:color="auto" w:fill="FFFFFF"/>
          <w:lang w:val="en-US" w:eastAsia="zh-CN"/>
        </w:rPr>
      </w:pPr>
      <w:r>
        <w:rPr>
          <w:rFonts w:hint="eastAsia" w:asciiTheme="majorEastAsia" w:hAnsiTheme="majorEastAsia" w:eastAsiaTheme="majorEastAsia" w:cstheme="majorEastAsia"/>
          <w:color w:val="auto"/>
          <w:highlight w:val="none"/>
          <w:shd w:val="clear" w:color="auto" w:fill="FFFFFF"/>
          <w:lang w:val="en-US" w:eastAsia="zh-CN"/>
        </w:rPr>
        <w:t>3）招标人对中标人到货后每批次产品进行随机抽查、检验；检验合格的，签字验收。对于抽查检测不合格的，招标人有权拒收并责成中标人定期整改，直到符合标准为止。</w:t>
      </w:r>
    </w:p>
    <w:p>
      <w:pPr>
        <w:pStyle w:val="18"/>
        <w:widowControl/>
        <w:shd w:val="clear" w:color="auto" w:fill="FFFFFF"/>
        <w:spacing w:line="440" w:lineRule="exact"/>
        <w:ind w:firstLine="480" w:firstLineChars="200"/>
        <w:rPr>
          <w:rFonts w:hint="eastAsia" w:asciiTheme="majorEastAsia" w:hAnsiTheme="majorEastAsia" w:eastAsiaTheme="majorEastAsia" w:cstheme="majorEastAsia"/>
          <w:color w:val="auto"/>
          <w:highlight w:val="none"/>
          <w:shd w:val="clear" w:color="auto" w:fill="FFFFFF"/>
          <w:lang w:val="en-US" w:eastAsia="zh-CN"/>
        </w:rPr>
      </w:pPr>
      <w:r>
        <w:rPr>
          <w:rFonts w:hint="eastAsia" w:asciiTheme="majorEastAsia" w:hAnsiTheme="majorEastAsia" w:eastAsiaTheme="majorEastAsia" w:cstheme="majorEastAsia"/>
          <w:color w:val="auto"/>
          <w:highlight w:val="none"/>
          <w:shd w:val="clear" w:color="auto" w:fill="FFFFFF"/>
          <w:lang w:val="en-US" w:eastAsia="zh-CN"/>
        </w:rPr>
        <w:t>4）如果乙方未能按合同规定的时间按时足额交货的（不可抗力的原因除外），甲方同意延长交货期的，延期交货的时间由双方另行确定。若逾期交货所产生的违约金，甲方有权从未付的合同货款中扣除。每逾期1天，违约金按人民币贰仟元整（¥2000.00元）扣除。若因此给甲方造成损失的，还应赔偿甲方所受的损失。</w:t>
      </w:r>
    </w:p>
    <w:p>
      <w:pPr>
        <w:pStyle w:val="18"/>
        <w:widowControl/>
        <w:shd w:val="clear" w:color="auto" w:fill="FFFFFF"/>
        <w:spacing w:line="440" w:lineRule="exact"/>
        <w:ind w:firstLine="480" w:firstLineChars="200"/>
        <w:rPr>
          <w:rFonts w:hint="eastAsia" w:asciiTheme="majorEastAsia" w:hAnsiTheme="majorEastAsia" w:eastAsiaTheme="majorEastAsia" w:cstheme="majorEastAsia"/>
          <w:color w:val="auto"/>
          <w:highlight w:val="none"/>
          <w:shd w:val="clear" w:color="auto" w:fill="FFFFFF"/>
          <w:lang w:val="en-US" w:eastAsia="zh-CN"/>
        </w:rPr>
      </w:pPr>
      <w:r>
        <w:rPr>
          <w:rFonts w:hint="eastAsia" w:asciiTheme="majorEastAsia" w:hAnsiTheme="majorEastAsia" w:eastAsiaTheme="majorEastAsia" w:cstheme="majorEastAsia"/>
          <w:color w:val="auto"/>
          <w:highlight w:val="none"/>
          <w:shd w:val="clear" w:color="auto" w:fill="FFFFFF"/>
          <w:lang w:val="en-US" w:eastAsia="zh-CN"/>
        </w:rPr>
        <w:t>5）中标人提供的所有产品，招标人将随时邀请政府有关部门或有检测资质的第三方进行质量检测，若无法达到合格标准，招标人有权退回，并由中标人承担由此造成的一切经济损失。</w:t>
      </w:r>
    </w:p>
    <w:p>
      <w:pPr>
        <w:pStyle w:val="18"/>
        <w:widowControl/>
        <w:spacing w:line="440" w:lineRule="exact"/>
        <w:rPr>
          <w:rFonts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b/>
          <w:bCs/>
          <w:color w:val="auto"/>
          <w:highlight w:val="none"/>
          <w:lang w:eastAsia="zh-CN"/>
        </w:rPr>
        <w:t>四</w:t>
      </w:r>
      <w:r>
        <w:rPr>
          <w:rFonts w:hint="eastAsia" w:asciiTheme="majorEastAsia" w:hAnsiTheme="majorEastAsia" w:eastAsiaTheme="majorEastAsia" w:cstheme="majorEastAsia"/>
          <w:b/>
          <w:bCs/>
          <w:color w:val="auto"/>
          <w:highlight w:val="none"/>
        </w:rPr>
        <w:t>、其他事项</w:t>
      </w:r>
    </w:p>
    <w:p>
      <w:pPr>
        <w:pStyle w:val="18"/>
        <w:widowControl/>
        <w:spacing w:line="440" w:lineRule="exact"/>
        <w:ind w:firstLine="480" w:firstLineChars="20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1、除招标文件另有规定外，若出现有关法律、法规和规章有强制性规定但招标文件未列明的情形，则投标人应按照有关法律、法规和规章强制性规定执行。</w:t>
      </w:r>
    </w:p>
    <w:p>
      <w:pPr>
        <w:pStyle w:val="18"/>
        <w:widowControl/>
        <w:spacing w:line="440" w:lineRule="exact"/>
        <w:ind w:firstLine="480" w:firstLineChars="20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2、其他：</w:t>
      </w:r>
    </w:p>
    <w:p>
      <w:pPr>
        <w:pStyle w:val="18"/>
        <w:widowControl/>
        <w:shd w:val="clear" w:color="auto" w:fill="FFFFFF"/>
        <w:spacing w:line="440" w:lineRule="exact"/>
        <w:ind w:firstLine="480" w:firstLineChars="200"/>
        <w:rPr>
          <w:rFonts w:hint="eastAsia" w:asciiTheme="majorEastAsia" w:hAnsiTheme="majorEastAsia" w:eastAsiaTheme="majorEastAsia" w:cstheme="majorEastAsia"/>
          <w:color w:val="auto"/>
          <w:highlight w:val="none"/>
          <w:shd w:val="clear" w:color="auto" w:fill="FFFFFF"/>
        </w:rPr>
      </w:pPr>
      <w:r>
        <w:rPr>
          <w:rFonts w:hint="eastAsia" w:asciiTheme="majorEastAsia" w:hAnsiTheme="majorEastAsia" w:eastAsiaTheme="majorEastAsia" w:cstheme="majorEastAsia"/>
          <w:color w:val="auto"/>
          <w:highlight w:val="none"/>
          <w:shd w:val="clear" w:color="auto" w:fill="FFFFFF"/>
        </w:rPr>
        <w:t>2.1 本项目不允许中标人以任何名义和理由在中标后将中标项目的主体、非主体、关键性工作、非关键性工作进行转包、分包，在履行合同过程中如有发现，采购人有权单方终止合同，视为中标人违约，中标人违约对采购人造成的损失的，需另行支付相应的赔偿，并追究相关法律责任。</w:t>
      </w:r>
    </w:p>
    <w:p>
      <w:pPr>
        <w:pStyle w:val="18"/>
        <w:widowControl/>
        <w:shd w:val="clear" w:color="auto" w:fill="FFFFFF"/>
        <w:spacing w:line="440" w:lineRule="exact"/>
        <w:ind w:firstLine="480" w:firstLineChars="200"/>
        <w:rPr>
          <w:rFonts w:hint="default" w:asciiTheme="majorEastAsia" w:hAnsiTheme="majorEastAsia" w:eastAsiaTheme="majorEastAsia" w:cstheme="majorEastAsia"/>
          <w:color w:val="auto"/>
          <w:highlight w:val="none"/>
          <w:shd w:val="clear" w:color="auto" w:fill="FFFFFF"/>
          <w:lang w:val="en-US" w:eastAsia="zh-CN"/>
        </w:rPr>
      </w:pPr>
      <w:r>
        <w:rPr>
          <w:rFonts w:hint="eastAsia" w:asciiTheme="majorEastAsia" w:hAnsiTheme="majorEastAsia" w:eastAsiaTheme="majorEastAsia" w:cstheme="majorEastAsia"/>
          <w:color w:val="auto"/>
          <w:highlight w:val="none"/>
          <w:shd w:val="clear" w:color="auto" w:fill="FFFFFF"/>
          <w:lang w:val="en-US" w:eastAsia="zh-CN"/>
        </w:rPr>
        <w:t>2.2</w:t>
      </w:r>
      <w:r>
        <w:rPr>
          <w:rFonts w:hint="eastAsia" w:asciiTheme="majorEastAsia" w:hAnsiTheme="majorEastAsia" w:eastAsiaTheme="majorEastAsia" w:cstheme="majorEastAsia"/>
          <w:color w:val="auto"/>
          <w:highlight w:val="none"/>
          <w:shd w:val="clear" w:color="auto" w:fill="FFFFFF"/>
        </w:rPr>
        <w:t>本项目采购数量以实际采购数量为准，结算以实际采购数量乘以中标单价计算</w:t>
      </w:r>
      <w:r>
        <w:rPr>
          <w:rFonts w:hint="eastAsia" w:asciiTheme="majorEastAsia" w:hAnsiTheme="majorEastAsia" w:eastAsiaTheme="majorEastAsia" w:cstheme="majorEastAsia"/>
          <w:color w:val="auto"/>
          <w:highlight w:val="none"/>
          <w:shd w:val="clear" w:color="auto" w:fill="FFFFFF"/>
          <w:lang w:eastAsia="zh-CN"/>
        </w:rPr>
        <w:t>，结算金额不超过中标总金额。</w:t>
      </w:r>
    </w:p>
    <w:p>
      <w:pPr>
        <w:pStyle w:val="18"/>
        <w:widowControl/>
        <w:shd w:val="clear" w:color="auto" w:fill="FFFFFF"/>
        <w:spacing w:line="440" w:lineRule="exact"/>
        <w:ind w:firstLine="480" w:firstLineChars="200"/>
        <w:rPr>
          <w:rFonts w:asciiTheme="majorEastAsia" w:hAnsiTheme="majorEastAsia" w:eastAsiaTheme="majorEastAsia" w:cstheme="majorEastAsia"/>
          <w:color w:val="auto"/>
          <w:highlight w:val="none"/>
          <w:shd w:val="clear" w:color="auto" w:fill="FFFFFF"/>
        </w:rPr>
      </w:pPr>
      <w:r>
        <w:rPr>
          <w:rFonts w:hint="eastAsia" w:asciiTheme="majorEastAsia" w:hAnsiTheme="majorEastAsia" w:eastAsiaTheme="majorEastAsia" w:cstheme="majorEastAsia"/>
          <w:color w:val="auto"/>
          <w:highlight w:val="none"/>
          <w:shd w:val="clear" w:color="auto" w:fill="FFFFFF"/>
        </w:rPr>
        <w:t>2.</w:t>
      </w:r>
      <w:r>
        <w:rPr>
          <w:rFonts w:hint="eastAsia" w:asciiTheme="majorEastAsia" w:hAnsiTheme="majorEastAsia" w:eastAsiaTheme="majorEastAsia" w:cstheme="majorEastAsia"/>
          <w:color w:val="auto"/>
          <w:highlight w:val="none"/>
          <w:shd w:val="clear" w:color="auto" w:fill="FFFFFF"/>
          <w:lang w:val="en-US" w:eastAsia="zh-CN"/>
        </w:rPr>
        <w:t>3</w:t>
      </w:r>
      <w:r>
        <w:rPr>
          <w:rFonts w:hint="eastAsia" w:asciiTheme="majorEastAsia" w:hAnsiTheme="majorEastAsia" w:eastAsiaTheme="majorEastAsia" w:cstheme="majorEastAsia"/>
          <w:color w:val="auto"/>
          <w:highlight w:val="none"/>
          <w:shd w:val="clear" w:color="auto" w:fill="FFFFFF"/>
        </w:rPr>
        <w:t xml:space="preserve"> 本招标文件未明确的其它约定事项或条款，待采购人与中标人签订合同时，由双方协商订立。</w:t>
      </w:r>
    </w:p>
    <w:p>
      <w:pPr>
        <w:pStyle w:val="18"/>
        <w:widowControl/>
        <w:shd w:val="clear" w:color="auto" w:fill="FFFFFF"/>
        <w:spacing w:line="440" w:lineRule="exact"/>
        <w:rPr>
          <w:rFonts w:asciiTheme="majorEastAsia" w:hAnsiTheme="majorEastAsia" w:eastAsiaTheme="majorEastAsia" w:cstheme="majorEastAsia"/>
          <w:color w:val="auto"/>
          <w:highlight w:val="none"/>
          <w:shd w:val="clear" w:color="auto" w:fill="FFFFFF"/>
        </w:rPr>
      </w:pPr>
    </w:p>
    <w:p>
      <w:pPr>
        <w:pStyle w:val="18"/>
        <w:widowControl/>
        <w:shd w:val="clear" w:color="auto" w:fill="FFFFFF"/>
        <w:spacing w:line="440" w:lineRule="exact"/>
        <w:rPr>
          <w:rFonts w:asciiTheme="majorEastAsia" w:hAnsiTheme="majorEastAsia" w:eastAsiaTheme="majorEastAsia" w:cstheme="majorEastAsia"/>
          <w:color w:val="auto"/>
          <w:highlight w:val="none"/>
          <w:shd w:val="clear" w:color="auto" w:fill="FFFFFF"/>
        </w:rPr>
      </w:pPr>
    </w:p>
    <w:p>
      <w:pPr>
        <w:pStyle w:val="18"/>
        <w:widowControl/>
        <w:shd w:val="clear" w:color="auto" w:fill="FFFFFF"/>
        <w:spacing w:line="440" w:lineRule="exact"/>
        <w:rPr>
          <w:rFonts w:asciiTheme="majorEastAsia" w:hAnsiTheme="majorEastAsia" w:eastAsiaTheme="majorEastAsia" w:cstheme="majorEastAsia"/>
          <w:color w:val="auto"/>
          <w:highlight w:val="none"/>
          <w:shd w:val="clear" w:color="auto" w:fill="FFFFFF"/>
        </w:rPr>
      </w:pPr>
    </w:p>
    <w:p>
      <w:pPr>
        <w:pStyle w:val="18"/>
        <w:widowControl/>
        <w:shd w:val="clear" w:color="auto" w:fill="FFFFFF"/>
        <w:spacing w:line="440" w:lineRule="exact"/>
        <w:rPr>
          <w:rFonts w:asciiTheme="majorEastAsia" w:hAnsiTheme="majorEastAsia" w:eastAsiaTheme="majorEastAsia" w:cstheme="majorEastAsia"/>
          <w:color w:val="auto"/>
          <w:highlight w:val="none"/>
          <w:shd w:val="clear" w:color="auto" w:fill="FFFFFF"/>
        </w:rPr>
      </w:pPr>
    </w:p>
    <w:p>
      <w:pPr>
        <w:pStyle w:val="18"/>
        <w:widowControl/>
        <w:shd w:val="clear" w:color="auto" w:fill="FFFFFF"/>
        <w:spacing w:line="440" w:lineRule="exact"/>
        <w:rPr>
          <w:rFonts w:asciiTheme="majorEastAsia" w:hAnsiTheme="majorEastAsia" w:eastAsiaTheme="majorEastAsia" w:cstheme="majorEastAsia"/>
          <w:color w:val="auto"/>
          <w:highlight w:val="none"/>
          <w:shd w:val="clear" w:color="auto" w:fill="FFFFFF"/>
        </w:rPr>
      </w:pPr>
    </w:p>
    <w:p>
      <w:pPr>
        <w:pStyle w:val="18"/>
        <w:widowControl/>
        <w:shd w:val="clear" w:color="auto" w:fill="FFFFFF"/>
        <w:spacing w:line="440" w:lineRule="exact"/>
        <w:rPr>
          <w:rFonts w:asciiTheme="majorEastAsia" w:hAnsiTheme="majorEastAsia" w:eastAsiaTheme="majorEastAsia" w:cstheme="majorEastAsia"/>
          <w:color w:val="auto"/>
          <w:highlight w:val="none"/>
          <w:shd w:val="clear" w:color="auto" w:fill="FFFFFF"/>
        </w:rPr>
      </w:pPr>
    </w:p>
    <w:p>
      <w:pPr>
        <w:pStyle w:val="18"/>
        <w:widowControl/>
        <w:spacing w:before="75" w:after="75"/>
        <w:ind w:firstLine="622" w:firstLineChars="200"/>
        <w:rPr>
          <w:rStyle w:val="25"/>
          <w:rFonts w:hint="eastAsia" w:asciiTheme="majorEastAsia" w:hAnsiTheme="majorEastAsia" w:eastAsiaTheme="majorEastAsia" w:cstheme="majorEastAsia"/>
          <w:color w:val="auto"/>
          <w:sz w:val="31"/>
          <w:szCs w:val="31"/>
          <w:highlight w:val="none"/>
        </w:rPr>
      </w:pPr>
      <w:r>
        <w:rPr>
          <w:rStyle w:val="25"/>
          <w:rFonts w:hint="eastAsia" w:asciiTheme="majorEastAsia" w:hAnsiTheme="majorEastAsia" w:eastAsiaTheme="majorEastAsia" w:cstheme="majorEastAsia"/>
          <w:color w:val="auto"/>
          <w:sz w:val="31"/>
          <w:szCs w:val="31"/>
          <w:highlight w:val="none"/>
        </w:rPr>
        <w:t>第六章  南日岛东岱湾</w:t>
      </w:r>
      <w:r>
        <w:rPr>
          <w:rStyle w:val="25"/>
          <w:rFonts w:hint="eastAsia" w:asciiTheme="majorEastAsia" w:hAnsiTheme="majorEastAsia" w:eastAsiaTheme="majorEastAsia" w:cstheme="majorEastAsia"/>
          <w:color w:val="auto"/>
          <w:sz w:val="31"/>
          <w:szCs w:val="31"/>
          <w:highlight w:val="none"/>
          <w:lang w:eastAsia="zh-CN"/>
        </w:rPr>
        <w:t>全塑胶养殖</w:t>
      </w:r>
      <w:r>
        <w:rPr>
          <w:rStyle w:val="25"/>
          <w:rFonts w:hint="eastAsia" w:asciiTheme="majorEastAsia" w:hAnsiTheme="majorEastAsia" w:eastAsiaTheme="majorEastAsia" w:cstheme="majorEastAsia"/>
          <w:color w:val="auto"/>
          <w:sz w:val="31"/>
          <w:szCs w:val="31"/>
          <w:highlight w:val="none"/>
        </w:rPr>
        <w:t>渔排采购合同</w:t>
      </w:r>
    </w:p>
    <w:p>
      <w:pPr>
        <w:pStyle w:val="18"/>
        <w:widowControl/>
        <w:spacing w:before="75" w:after="75"/>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编制说明</w:t>
      </w:r>
    </w:p>
    <w:p>
      <w:pPr>
        <w:pStyle w:val="18"/>
        <w:widowControl/>
        <w:spacing w:line="440" w:lineRule="exact"/>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1、签订合同应遵守政府采购法、民法典。</w:t>
      </w:r>
    </w:p>
    <w:p>
      <w:pPr>
        <w:pStyle w:val="18"/>
        <w:widowControl/>
        <w:spacing w:line="440" w:lineRule="exact"/>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2、签订合同时，采购人与中标人应结合招标文件第五章规定填列相应内容。招标文件第五章已有规定的，双方均不得变更或调整；招标文件第五章未作规定的，双方可通过友好协商进行约定。</w:t>
      </w:r>
    </w:p>
    <w:p>
      <w:pPr>
        <w:pStyle w:val="18"/>
        <w:widowControl/>
        <w:spacing w:line="440" w:lineRule="exact"/>
        <w:rPr>
          <w:rFonts w:hint="eastAsia" w:asciiTheme="majorEastAsia" w:hAnsiTheme="majorEastAsia" w:eastAsiaTheme="majorEastAsia" w:cstheme="majorEastAsia"/>
          <w:b/>
          <w:bCs w:val="0"/>
          <w:color w:val="auto"/>
          <w:sz w:val="28"/>
          <w:szCs w:val="28"/>
          <w:highlight w:val="none"/>
        </w:rPr>
      </w:pPr>
      <w:r>
        <w:rPr>
          <w:rStyle w:val="25"/>
          <w:rFonts w:hint="eastAsia" w:asciiTheme="majorEastAsia" w:hAnsiTheme="majorEastAsia" w:eastAsiaTheme="majorEastAsia" w:cstheme="majorEastAsia"/>
          <w:color w:val="auto"/>
          <w:highlight w:val="none"/>
        </w:rPr>
        <w:t>3、国家有关部门对若干合同有规范文本的，可使用相应合同文本。</w:t>
      </w:r>
      <w:bookmarkStart w:id="2" w:name="_Toc309199156"/>
      <w:bookmarkStart w:id="3" w:name="_Toc308675459"/>
      <w:bookmarkStart w:id="4" w:name="_Toc394259015"/>
      <w:bookmarkStart w:id="5" w:name="_Toc282069291"/>
      <w:bookmarkStart w:id="6" w:name="_Toc280783252"/>
      <w:bookmarkStart w:id="7" w:name="_Toc281983332"/>
      <w:bookmarkStart w:id="8" w:name="_Toc394259016"/>
      <w:bookmarkStart w:id="9" w:name="_Toc303755020"/>
      <w:bookmarkStart w:id="10" w:name="_Toc308607164"/>
      <w:bookmarkStart w:id="11" w:name="_Toc281993712"/>
    </w:p>
    <w:p>
      <w:pPr>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after="157" w:afterLines="50"/>
        <w:ind w:firstLine="6240" w:firstLineChars="2600"/>
        <w:textAlignment w:val="auto"/>
        <w:rPr>
          <w:rFonts w:hint="eastAsia"/>
          <w:color w:val="auto"/>
          <w:highlight w:val="none"/>
        </w:rPr>
      </w:pPr>
      <w:r>
        <w:rPr>
          <w:rFonts w:hint="eastAsia" w:asciiTheme="majorEastAsia" w:hAnsiTheme="majorEastAsia" w:eastAsiaTheme="majorEastAsia" w:cstheme="majorEastAsia"/>
          <w:color w:val="auto"/>
          <w:sz w:val="24"/>
          <w:szCs w:val="24"/>
          <w:highlight w:val="none"/>
        </w:rPr>
        <w:t>合同号：</w:t>
      </w:r>
      <w:r>
        <w:rPr>
          <w:rFonts w:hint="eastAsia" w:asciiTheme="majorEastAsia" w:hAnsiTheme="majorEastAsia" w:eastAsiaTheme="majorEastAsia" w:cstheme="majorEastAsia"/>
          <w:color w:val="auto"/>
          <w:sz w:val="24"/>
          <w:szCs w:val="24"/>
          <w:highlight w:val="none"/>
          <w:lang w:val="en-US" w:eastAsia="zh-CN"/>
        </w:rPr>
        <w:t>________</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default"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rPr>
        <w:t>甲方(</w:t>
      </w:r>
      <w:r>
        <w:rPr>
          <w:rFonts w:hint="eastAsia" w:asciiTheme="majorEastAsia" w:hAnsiTheme="majorEastAsia" w:eastAsiaTheme="majorEastAsia" w:cstheme="majorEastAsia"/>
          <w:color w:val="auto"/>
          <w:sz w:val="24"/>
          <w:szCs w:val="24"/>
          <w:highlight w:val="none"/>
          <w:u w:val="single"/>
        </w:rPr>
        <w:t>招标人</w:t>
      </w:r>
      <w:r>
        <w:rPr>
          <w:rFonts w:ascii="宋体" w:hAnsi="宋体" w:eastAsia="宋体" w:cs="宋体"/>
          <w:color w:val="auto"/>
          <w:kern w:val="0"/>
          <w:sz w:val="24"/>
          <w:szCs w:val="24"/>
          <w:highlight w:val="none"/>
          <w:u w:val="single"/>
        </w:rPr>
        <w:t>全称</w:t>
      </w:r>
      <w:r>
        <w:rPr>
          <w:rFonts w:hint="eastAsia" w:asciiTheme="majorEastAsia" w:hAnsiTheme="majorEastAsia" w:eastAsiaTheme="majorEastAsia" w:cstheme="majorEastAsia"/>
          <w:color w:val="auto"/>
          <w:sz w:val="24"/>
          <w:szCs w:val="24"/>
          <w:highlight w:val="none"/>
        </w:rPr>
        <w:t>)：</w:t>
      </w:r>
      <w:r>
        <w:rPr>
          <w:rFonts w:hint="eastAsia" w:asciiTheme="majorEastAsia" w:hAnsiTheme="majorEastAsia" w:eastAsiaTheme="majorEastAsia" w:cstheme="majorEastAsia"/>
          <w:color w:val="auto"/>
          <w:sz w:val="24"/>
          <w:szCs w:val="24"/>
          <w:highlight w:val="none"/>
          <w:u w:val="single"/>
          <w:lang w:eastAsia="zh-CN"/>
        </w:rPr>
        <w:t>莆田市秀屿区滨海渔港建设开发有限公司</w:t>
      </w:r>
      <w:r>
        <w:rPr>
          <w:rFonts w:hint="eastAsia" w:asciiTheme="majorEastAsia" w:hAnsiTheme="majorEastAsia" w:eastAsiaTheme="majorEastAsia" w:cstheme="majorEastAsia"/>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default"/>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rPr>
        <w:t>乙方(</w:t>
      </w:r>
      <w:r>
        <w:rPr>
          <w:rFonts w:hint="eastAsia" w:asciiTheme="majorEastAsia" w:hAnsiTheme="majorEastAsia" w:eastAsiaTheme="majorEastAsia" w:cstheme="majorEastAsia"/>
          <w:color w:val="auto"/>
          <w:sz w:val="24"/>
          <w:szCs w:val="24"/>
          <w:highlight w:val="none"/>
          <w:u w:val="single"/>
        </w:rPr>
        <w:t>中标人</w:t>
      </w:r>
      <w:r>
        <w:rPr>
          <w:rFonts w:ascii="宋体" w:hAnsi="宋体" w:eastAsia="宋体" w:cs="宋体"/>
          <w:color w:val="auto"/>
          <w:kern w:val="0"/>
          <w:sz w:val="24"/>
          <w:szCs w:val="24"/>
          <w:highlight w:val="none"/>
          <w:u w:val="single"/>
        </w:rPr>
        <w:t>全称</w:t>
      </w:r>
      <w:r>
        <w:rPr>
          <w:rFonts w:hint="eastAsia" w:asciiTheme="majorEastAsia" w:hAnsiTheme="majorEastAsia" w:eastAsiaTheme="majorEastAsia" w:cstheme="majorEastAsia"/>
          <w:color w:val="auto"/>
          <w:sz w:val="24"/>
          <w:szCs w:val="24"/>
          <w:highlight w:val="none"/>
        </w:rPr>
        <w:t>)：</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Theme="majorEastAsia" w:hAnsiTheme="majorEastAsia" w:eastAsiaTheme="majorEastAsia" w:cstheme="majorEastAsia"/>
          <w:color w:val="auto"/>
          <w:sz w:val="24"/>
          <w:szCs w:val="24"/>
          <w:highlight w:val="none"/>
          <w:u w:val="single"/>
          <w:lang w:eastAsia="zh-CN"/>
        </w:rPr>
      </w:pPr>
      <w:r>
        <w:rPr>
          <w:rFonts w:hint="eastAsia" w:asciiTheme="majorEastAsia" w:hAnsiTheme="majorEastAsia" w:eastAsiaTheme="majorEastAsia" w:cstheme="majorEastAsia"/>
          <w:color w:val="auto"/>
          <w:sz w:val="24"/>
          <w:szCs w:val="24"/>
          <w:highlight w:val="none"/>
        </w:rPr>
        <w:t>签订地点：</w:t>
      </w:r>
      <w:r>
        <w:rPr>
          <w:rFonts w:hint="eastAsia" w:asciiTheme="majorEastAsia" w:hAnsiTheme="majorEastAsia" w:eastAsiaTheme="majorEastAsia" w:cstheme="majorEastAsia"/>
          <w:color w:val="auto"/>
          <w:sz w:val="24"/>
          <w:szCs w:val="24"/>
          <w:highlight w:val="none"/>
          <w:u w:val="single"/>
          <w:lang w:eastAsia="zh-CN"/>
        </w:rPr>
        <w:t>莆田市秀屿区滨海渔港建设开发有限公司</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签订日期： </w:t>
      </w:r>
      <w:r>
        <w:rPr>
          <w:rFonts w:hint="eastAsia" w:asciiTheme="majorEastAsia" w:hAnsiTheme="majorEastAsia" w:eastAsiaTheme="majorEastAsia" w:cstheme="majorEastAsia"/>
          <w:color w:val="auto"/>
          <w:sz w:val="24"/>
          <w:szCs w:val="24"/>
          <w:highlight w:val="none"/>
          <w:lang w:val="en-US" w:eastAsia="zh-CN"/>
        </w:rPr>
        <w:t xml:space="preserve">    </w:t>
      </w:r>
      <w:r>
        <w:rPr>
          <w:rFonts w:hint="eastAsia" w:asciiTheme="majorEastAsia" w:hAnsiTheme="majorEastAsia" w:eastAsiaTheme="majorEastAsia" w:cstheme="majorEastAsia"/>
          <w:color w:val="auto"/>
          <w:sz w:val="24"/>
          <w:szCs w:val="24"/>
          <w:highlight w:val="none"/>
        </w:rPr>
        <w:t xml:space="preserve">年 </w:t>
      </w:r>
      <w:r>
        <w:rPr>
          <w:rFonts w:hint="eastAsia" w:asciiTheme="majorEastAsia" w:hAnsiTheme="majorEastAsia" w:eastAsiaTheme="majorEastAsia" w:cstheme="majorEastAsia"/>
          <w:color w:val="auto"/>
          <w:sz w:val="24"/>
          <w:szCs w:val="24"/>
          <w:highlight w:val="none"/>
          <w:lang w:val="en-US" w:eastAsia="zh-CN"/>
        </w:rPr>
        <w:t xml:space="preserve">    </w:t>
      </w:r>
      <w:r>
        <w:rPr>
          <w:rFonts w:hint="eastAsia" w:asciiTheme="majorEastAsia" w:hAnsiTheme="majorEastAsia" w:eastAsiaTheme="majorEastAsia" w:cstheme="majorEastAsia"/>
          <w:color w:val="auto"/>
          <w:sz w:val="24"/>
          <w:szCs w:val="24"/>
          <w:highlight w:val="none"/>
        </w:rPr>
        <w:t xml:space="preserve">月  </w:t>
      </w:r>
      <w:r>
        <w:rPr>
          <w:rFonts w:hint="eastAsia" w:asciiTheme="majorEastAsia" w:hAnsiTheme="majorEastAsia" w:eastAsiaTheme="majorEastAsia" w:cstheme="majorEastAsia"/>
          <w:color w:val="auto"/>
          <w:sz w:val="24"/>
          <w:szCs w:val="24"/>
          <w:highlight w:val="none"/>
          <w:lang w:val="en-US" w:eastAsia="zh-CN"/>
        </w:rPr>
        <w:t xml:space="preserve">  </w:t>
      </w:r>
      <w:r>
        <w:rPr>
          <w:rFonts w:hint="eastAsia" w:asciiTheme="majorEastAsia" w:hAnsiTheme="majorEastAsia" w:eastAsiaTheme="majorEastAsia" w:cstheme="majorEastAsia"/>
          <w:color w:val="auto"/>
          <w:sz w:val="24"/>
          <w:szCs w:val="24"/>
          <w:highlight w:val="none"/>
        </w:rPr>
        <w:t>日</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根据甲方委托</w:t>
      </w:r>
      <w:r>
        <w:rPr>
          <w:rFonts w:hint="eastAsia" w:asciiTheme="majorEastAsia" w:hAnsiTheme="majorEastAsia" w:eastAsiaTheme="majorEastAsia" w:cstheme="majorEastAsia"/>
          <w:color w:val="auto"/>
          <w:sz w:val="24"/>
          <w:szCs w:val="24"/>
          <w:highlight w:val="none"/>
          <w:u w:val="single"/>
          <w:lang w:val="en-US" w:eastAsia="zh-CN"/>
        </w:rPr>
        <w:t xml:space="preserve"> </w:t>
      </w:r>
      <w:r>
        <w:rPr>
          <w:rFonts w:hint="eastAsia" w:asciiTheme="majorEastAsia" w:hAnsiTheme="majorEastAsia" w:eastAsiaTheme="majorEastAsia" w:cstheme="majorEastAsia"/>
          <w:b w:val="0"/>
          <w:bCs w:val="0"/>
          <w:color w:val="auto"/>
          <w:kern w:val="2"/>
          <w:sz w:val="24"/>
          <w:szCs w:val="24"/>
          <w:highlight w:val="none"/>
          <w:u w:val="single"/>
          <w:lang w:val="en-US" w:eastAsia="zh-CN" w:bidi="ar-SA"/>
        </w:rPr>
        <w:t xml:space="preserve">莆田市信成造价咨询有限公司 </w:t>
      </w:r>
      <w:r>
        <w:rPr>
          <w:rFonts w:hint="eastAsia" w:asciiTheme="majorEastAsia" w:hAnsiTheme="majorEastAsia" w:eastAsiaTheme="majorEastAsia" w:cstheme="majorEastAsia"/>
          <w:color w:val="auto"/>
          <w:sz w:val="24"/>
          <w:szCs w:val="24"/>
          <w:highlight w:val="none"/>
        </w:rPr>
        <w:t>对</w:t>
      </w:r>
      <w:r>
        <w:rPr>
          <w:rFonts w:hint="eastAsia" w:asciiTheme="majorEastAsia" w:hAnsiTheme="majorEastAsia" w:eastAsiaTheme="majorEastAsia" w:cstheme="majorEastAsia"/>
          <w:color w:val="auto"/>
          <w:sz w:val="24"/>
          <w:szCs w:val="24"/>
          <w:highlight w:val="none"/>
          <w:u w:val="single"/>
          <w:lang w:val="en-US" w:eastAsia="zh-CN"/>
        </w:rPr>
        <w:t xml:space="preserve"> </w:t>
      </w:r>
      <w:r>
        <w:rPr>
          <w:rFonts w:hint="eastAsia" w:asciiTheme="majorEastAsia" w:hAnsiTheme="majorEastAsia" w:eastAsiaTheme="majorEastAsia" w:cstheme="majorEastAsia"/>
          <w:color w:val="auto"/>
          <w:sz w:val="24"/>
          <w:szCs w:val="24"/>
          <w:highlight w:val="none"/>
          <w:u w:val="single"/>
          <w:lang w:eastAsia="zh-CN"/>
        </w:rPr>
        <w:t>南日岛东岱湾全塑胶养殖渔排及深水抗风浪网箱（南日岛东岱湾生态养殖网箱平台）</w:t>
      </w:r>
      <w:r>
        <w:rPr>
          <w:rFonts w:hint="eastAsia" w:asciiTheme="majorEastAsia" w:hAnsiTheme="majorEastAsia" w:eastAsiaTheme="majorEastAsia" w:cstheme="majorEastAsia"/>
          <w:color w:val="auto"/>
          <w:sz w:val="24"/>
          <w:szCs w:val="24"/>
          <w:highlight w:val="none"/>
          <w:u w:val="single"/>
          <w:lang w:val="en-US" w:eastAsia="zh-CN"/>
        </w:rPr>
        <w:t xml:space="preserve"> </w:t>
      </w:r>
      <w:r>
        <w:rPr>
          <w:rFonts w:hint="eastAsia" w:asciiTheme="majorEastAsia" w:hAnsiTheme="majorEastAsia" w:eastAsiaTheme="majorEastAsia" w:cstheme="majorEastAsia"/>
          <w:color w:val="auto"/>
          <w:sz w:val="24"/>
          <w:szCs w:val="24"/>
          <w:highlight w:val="none"/>
        </w:rPr>
        <w:t>进行招标采购（招标编号：</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u w:val="single"/>
          <w:lang w:eastAsia="zh-CN"/>
        </w:rPr>
        <w:t>PTXC20220317-1</w:t>
      </w:r>
      <w:r>
        <w:rPr>
          <w:rFonts w:hint="eastAsia" w:asciiTheme="majorEastAsia" w:hAnsiTheme="majorEastAsia" w:eastAsiaTheme="majorEastAsia" w:cstheme="majorEastAsia"/>
          <w:color w:val="auto"/>
          <w:sz w:val="24"/>
          <w:szCs w:val="24"/>
          <w:highlight w:val="none"/>
          <w:u w:val="single"/>
          <w:lang w:val="en-US" w:eastAsia="zh-CN"/>
        </w:rPr>
        <w:t xml:space="preserve"> </w:t>
      </w:r>
      <w:r>
        <w:rPr>
          <w:rFonts w:hint="eastAsia" w:asciiTheme="majorEastAsia" w:hAnsiTheme="majorEastAsia" w:eastAsiaTheme="majorEastAsia" w:cstheme="majorEastAsia"/>
          <w:color w:val="auto"/>
          <w:sz w:val="24"/>
          <w:szCs w:val="24"/>
          <w:highlight w:val="none"/>
        </w:rPr>
        <w:t>）的招标结果，乙方为中标人，现依照招标文件、投标文件及相关文件的内容，双方达成如下协议：</w:t>
      </w:r>
    </w:p>
    <w:p>
      <w:pPr>
        <w:pStyle w:val="3"/>
        <w:pageBreakBefore w:val="0"/>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1.合同标的和合同价格</w:t>
      </w:r>
    </w:p>
    <w:tbl>
      <w:tblPr>
        <w:tblStyle w:val="21"/>
        <w:tblW w:w="8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4"/>
        <w:gridCol w:w="3819"/>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2894" w:type="dxa"/>
            <w:tcBorders>
              <w:bottom w:val="single" w:color="auto" w:sz="4" w:space="0"/>
            </w:tcBorders>
            <w:noWrap w:val="0"/>
            <w:vAlign w:val="center"/>
          </w:tcPr>
          <w:p>
            <w:pPr>
              <w:pStyle w:val="88"/>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产品名称</w:t>
            </w:r>
          </w:p>
        </w:tc>
        <w:tc>
          <w:tcPr>
            <w:tcW w:w="3819" w:type="dxa"/>
            <w:tcBorders>
              <w:bottom w:val="single" w:color="auto" w:sz="4" w:space="0"/>
            </w:tcBorders>
            <w:noWrap w:val="0"/>
            <w:vAlign w:val="center"/>
          </w:tcPr>
          <w:p>
            <w:pPr>
              <w:pStyle w:val="88"/>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规格型号</w:t>
            </w:r>
          </w:p>
        </w:tc>
        <w:tc>
          <w:tcPr>
            <w:tcW w:w="1869" w:type="dxa"/>
            <w:tcBorders>
              <w:bottom w:val="single" w:color="auto" w:sz="4" w:space="0"/>
            </w:tcBorders>
            <w:noWrap w:val="0"/>
            <w:vAlign w:val="center"/>
          </w:tcPr>
          <w:p>
            <w:pPr>
              <w:pStyle w:val="88"/>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1" w:hRule="exact"/>
        </w:trPr>
        <w:tc>
          <w:tcPr>
            <w:tcW w:w="2894" w:type="dxa"/>
            <w:vMerge w:val="restart"/>
            <w:noWrap w:val="0"/>
            <w:vAlign w:val="center"/>
          </w:tcPr>
          <w:p>
            <w:pPr>
              <w:pStyle w:val="88"/>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kern w:val="2"/>
                <w:sz w:val="24"/>
                <w:szCs w:val="24"/>
                <w:highlight w:val="none"/>
                <w:lang w:val="en-US" w:eastAsia="zh-CN" w:bidi="ar-SA"/>
              </w:rPr>
              <w:t>南日岛东岱湾全塑胶养殖渔排及深水抗风浪网箱（南日岛东岱湾生态养殖网箱平台）</w:t>
            </w:r>
          </w:p>
        </w:tc>
        <w:tc>
          <w:tcPr>
            <w:tcW w:w="3819" w:type="dxa"/>
            <w:tcBorders>
              <w:bottom w:val="single" w:color="auto" w:sz="4" w:space="0"/>
            </w:tcBorders>
            <w:noWrap w:val="0"/>
            <w:vAlign w:val="center"/>
          </w:tcPr>
          <w:p>
            <w:pPr>
              <w:spacing w:line="44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2000口4m*4m全塑胶渔排</w:t>
            </w:r>
          </w:p>
        </w:tc>
        <w:tc>
          <w:tcPr>
            <w:tcW w:w="1869" w:type="dxa"/>
            <w:vMerge w:val="restart"/>
            <w:noWrap w:val="0"/>
            <w:vAlign w:val="center"/>
          </w:tcPr>
          <w:p>
            <w:pPr>
              <w:pStyle w:val="88"/>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合同签订后120天内到货及安装完成，以供</w:t>
            </w:r>
            <w:r>
              <w:rPr>
                <w:rFonts w:hint="eastAsia" w:asciiTheme="majorEastAsia" w:hAnsiTheme="majorEastAsia" w:eastAsiaTheme="majorEastAsia" w:cstheme="majorEastAsia"/>
                <w:color w:val="auto"/>
                <w:sz w:val="24"/>
                <w:szCs w:val="24"/>
                <w:highlight w:val="none"/>
                <w:lang w:eastAsia="zh-CN"/>
              </w:rPr>
              <w:t>甲方</w:t>
            </w:r>
            <w:r>
              <w:rPr>
                <w:rFonts w:hint="eastAsia" w:asciiTheme="majorEastAsia" w:hAnsiTheme="majorEastAsia" w:eastAsiaTheme="majorEastAsia" w:cstheme="majorEastAsia"/>
                <w:color w:val="auto"/>
                <w:sz w:val="24"/>
                <w:szCs w:val="24"/>
                <w:highlight w:val="none"/>
              </w:rPr>
              <w:t>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exact"/>
        </w:trPr>
        <w:tc>
          <w:tcPr>
            <w:tcW w:w="2894" w:type="dxa"/>
            <w:vMerge w:val="continue"/>
            <w:tcBorders>
              <w:bottom w:val="single" w:color="auto" w:sz="4" w:space="0"/>
            </w:tcBorders>
            <w:noWrap w:val="0"/>
            <w:vAlign w:val="top"/>
          </w:tcPr>
          <w:p>
            <w:pPr>
              <w:pStyle w:val="88"/>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sz w:val="24"/>
                <w:szCs w:val="24"/>
                <w:highlight w:val="none"/>
              </w:rPr>
            </w:pPr>
          </w:p>
        </w:tc>
        <w:tc>
          <w:tcPr>
            <w:tcW w:w="3819" w:type="dxa"/>
            <w:tcBorders>
              <w:bottom w:val="single" w:color="auto" w:sz="4" w:space="0"/>
            </w:tcBorders>
            <w:noWrap w:val="0"/>
            <w:vAlign w:val="center"/>
          </w:tcPr>
          <w:p>
            <w:pPr>
              <w:spacing w:line="44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4口深水抗风浪网箱</w:t>
            </w:r>
          </w:p>
        </w:tc>
        <w:tc>
          <w:tcPr>
            <w:tcW w:w="1869" w:type="dxa"/>
            <w:vMerge w:val="continue"/>
            <w:tcBorders>
              <w:bottom w:val="single" w:color="auto" w:sz="4" w:space="0"/>
            </w:tcBorders>
            <w:noWrap w:val="0"/>
            <w:vAlign w:val="top"/>
          </w:tcPr>
          <w:p>
            <w:pPr>
              <w:pStyle w:val="88"/>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exact"/>
        </w:trPr>
        <w:tc>
          <w:tcPr>
            <w:tcW w:w="8582" w:type="dxa"/>
            <w:gridSpan w:val="3"/>
            <w:noWrap w:val="0"/>
            <w:vAlign w:val="top"/>
          </w:tcPr>
          <w:p>
            <w:pPr>
              <w:pStyle w:val="88"/>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合同总金额（大写）（塑胶渔排制造、</w:t>
            </w:r>
            <w:r>
              <w:rPr>
                <w:rFonts w:hint="eastAsia" w:asciiTheme="majorEastAsia" w:hAnsiTheme="majorEastAsia" w:eastAsiaTheme="majorEastAsia" w:cstheme="majorEastAsia"/>
                <w:color w:val="auto"/>
                <w:sz w:val="24"/>
                <w:szCs w:val="24"/>
                <w:highlight w:val="none"/>
                <w:lang w:eastAsia="zh-CN"/>
              </w:rPr>
              <w:t>生态</w:t>
            </w:r>
            <w:r>
              <w:rPr>
                <w:rFonts w:hint="eastAsia" w:asciiTheme="majorEastAsia" w:hAnsiTheme="majorEastAsia" w:eastAsiaTheme="majorEastAsia" w:cstheme="majorEastAsia"/>
                <w:color w:val="auto"/>
                <w:sz w:val="24"/>
                <w:szCs w:val="24"/>
                <w:highlight w:val="none"/>
              </w:rPr>
              <w:t>养殖</w:t>
            </w:r>
            <w:r>
              <w:rPr>
                <w:rFonts w:hint="eastAsia" w:asciiTheme="majorEastAsia" w:hAnsiTheme="majorEastAsia" w:eastAsiaTheme="majorEastAsia" w:cstheme="majorEastAsia"/>
                <w:color w:val="auto"/>
                <w:sz w:val="24"/>
                <w:szCs w:val="24"/>
                <w:highlight w:val="none"/>
                <w:lang w:eastAsia="zh-CN"/>
              </w:rPr>
              <w:t>网箱</w:t>
            </w:r>
            <w:r>
              <w:rPr>
                <w:rFonts w:hint="eastAsia" w:asciiTheme="majorEastAsia" w:hAnsiTheme="majorEastAsia" w:eastAsiaTheme="majorEastAsia" w:cstheme="majorEastAsia"/>
                <w:color w:val="auto"/>
                <w:sz w:val="24"/>
                <w:szCs w:val="24"/>
                <w:highlight w:val="none"/>
              </w:rPr>
              <w:t>平台、设计、包装、运输（送至招商单位指定地点）、</w:t>
            </w:r>
            <w:r>
              <w:rPr>
                <w:rFonts w:hint="eastAsia" w:asciiTheme="majorEastAsia" w:hAnsiTheme="majorEastAsia" w:eastAsiaTheme="majorEastAsia" w:cstheme="majorEastAsia"/>
                <w:color w:val="auto"/>
                <w:sz w:val="24"/>
                <w:szCs w:val="24"/>
                <w:highlight w:val="none"/>
                <w:lang w:val="en-US" w:eastAsia="zh-CN"/>
              </w:rPr>
              <w:t>产品检验检测、项目实施、采购保管、</w:t>
            </w:r>
            <w:r>
              <w:rPr>
                <w:rFonts w:hint="eastAsia" w:asciiTheme="majorEastAsia" w:hAnsiTheme="majorEastAsia" w:eastAsiaTheme="majorEastAsia" w:cstheme="majorEastAsia"/>
                <w:color w:val="auto"/>
                <w:sz w:val="24"/>
                <w:szCs w:val="24"/>
                <w:highlight w:val="none"/>
              </w:rPr>
              <w:t>装卸、税金、安装、调试、备品备件、专用工具、特殊工具、</w:t>
            </w:r>
            <w:r>
              <w:rPr>
                <w:rFonts w:hint="eastAsia" w:asciiTheme="majorEastAsia" w:hAnsiTheme="majorEastAsia" w:eastAsiaTheme="majorEastAsia" w:cstheme="majorEastAsia"/>
                <w:color w:val="auto"/>
                <w:sz w:val="24"/>
                <w:szCs w:val="24"/>
                <w:highlight w:val="none"/>
                <w:lang w:val="en-US" w:eastAsia="zh-CN"/>
              </w:rPr>
              <w:t>招标服务费、期间产生踏勘、测量设计、图纸、</w:t>
            </w:r>
            <w:r>
              <w:rPr>
                <w:rFonts w:hint="eastAsia" w:asciiTheme="majorEastAsia" w:hAnsiTheme="majorEastAsia" w:eastAsiaTheme="majorEastAsia" w:cstheme="majorEastAsia"/>
                <w:color w:val="auto"/>
                <w:sz w:val="24"/>
                <w:szCs w:val="24"/>
                <w:highlight w:val="none"/>
              </w:rPr>
              <w:t>验收、技术培训、保修等一切费用，以及所有根据合同或其它原因应由供应商支付的其它应缴的费用。）：人民币</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u w:val="single"/>
                <w:lang w:val="en-US" w:eastAsia="zh-CN"/>
              </w:rPr>
              <w:t xml:space="preserve">        </w:t>
            </w:r>
            <w:r>
              <w:rPr>
                <w:rFonts w:hint="eastAsia" w:asciiTheme="majorEastAsia" w:hAnsiTheme="majorEastAsia" w:eastAsiaTheme="majorEastAsia" w:cstheme="majorEastAsia"/>
                <w:color w:val="auto"/>
                <w:sz w:val="24"/>
                <w:szCs w:val="24"/>
                <w:highlight w:val="none"/>
              </w:rPr>
              <w:t>（大写）¥：</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u w:val="none"/>
              </w:rPr>
              <w:t>元</w:t>
            </w:r>
            <w:r>
              <w:rPr>
                <w:rFonts w:hint="eastAsia" w:asciiTheme="majorEastAsia" w:hAnsiTheme="majorEastAsia" w:eastAsiaTheme="majorEastAsia" w:cstheme="majorEastAsia"/>
                <w:color w:val="auto"/>
                <w:sz w:val="24"/>
                <w:szCs w:val="24"/>
                <w:highlight w:val="none"/>
              </w:rPr>
              <w:t>（小写）。</w:t>
            </w:r>
          </w:p>
        </w:tc>
      </w:tr>
    </w:tbl>
    <w:p>
      <w:pPr>
        <w:pStyle w:val="3"/>
        <w:pageBreakBefore w:val="0"/>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2.交货方式和交货地点</w:t>
      </w:r>
    </w:p>
    <w:p>
      <w:pPr>
        <w:pageBreakBefore w:val="0"/>
        <w:kinsoku/>
        <w:wordWrap/>
        <w:overflowPunct/>
        <w:topLinePunct w:val="0"/>
        <w:autoSpaceDE/>
        <w:autoSpaceDN/>
        <w:bidi w:val="0"/>
        <w:adjustRightInd/>
        <w:snapToGrid/>
        <w:spacing w:line="400" w:lineRule="exact"/>
        <w:ind w:firstLine="480"/>
        <w:textAlignment w:val="auto"/>
        <w:rPr>
          <w:rFonts w:hint="default"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rPr>
        <w:t>2.1交货方式：</w:t>
      </w:r>
      <w:r>
        <w:rPr>
          <w:rFonts w:hint="eastAsia" w:asciiTheme="majorEastAsia" w:hAnsiTheme="majorEastAsia" w:eastAsiaTheme="majorEastAsia" w:cstheme="majorEastAsia"/>
          <w:color w:val="auto"/>
          <w:sz w:val="24"/>
          <w:szCs w:val="24"/>
          <w:highlight w:val="none"/>
          <w:u w:val="single"/>
        </w:rPr>
        <w:t>送达交货地点，并安装调试至验收合格</w:t>
      </w:r>
      <w:r>
        <w:rPr>
          <w:rFonts w:hint="eastAsia" w:asciiTheme="majorEastAsia" w:hAnsiTheme="majorEastAsia" w:eastAsiaTheme="majorEastAsia" w:cstheme="majorEastAsia"/>
          <w:color w:val="auto"/>
          <w:sz w:val="24"/>
          <w:szCs w:val="24"/>
          <w:highlight w:val="none"/>
          <w:u w:val="single"/>
          <w:lang w:val="en-US" w:eastAsia="zh-CN"/>
        </w:rPr>
        <w:t xml:space="preserve">  </w:t>
      </w:r>
    </w:p>
    <w:p>
      <w:pPr>
        <w:pageBreakBefore w:val="0"/>
        <w:kinsoku/>
        <w:wordWrap/>
        <w:overflowPunct/>
        <w:topLinePunct w:val="0"/>
        <w:autoSpaceDE/>
        <w:autoSpaceDN/>
        <w:bidi w:val="0"/>
        <w:adjustRightInd/>
        <w:snapToGrid/>
        <w:spacing w:line="400" w:lineRule="exact"/>
        <w:ind w:firstLine="480"/>
        <w:textAlignment w:val="auto"/>
        <w:rPr>
          <w:rFonts w:hint="default"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rPr>
        <w:t>2.2交货地点：</w:t>
      </w:r>
      <w:r>
        <w:rPr>
          <w:rFonts w:hint="eastAsia" w:asciiTheme="majorEastAsia" w:hAnsiTheme="majorEastAsia" w:eastAsiaTheme="majorEastAsia" w:cstheme="majorEastAsia"/>
          <w:color w:val="auto"/>
          <w:sz w:val="24"/>
          <w:szCs w:val="24"/>
          <w:highlight w:val="none"/>
          <w:u w:val="single"/>
        </w:rPr>
        <w:t>秀屿区南日镇东岱村东岱湾</w:t>
      </w:r>
      <w:r>
        <w:rPr>
          <w:rFonts w:hint="eastAsia" w:asciiTheme="majorEastAsia" w:hAnsiTheme="majorEastAsia" w:eastAsiaTheme="majorEastAsia" w:cstheme="majorEastAsia"/>
          <w:color w:val="auto"/>
          <w:sz w:val="24"/>
          <w:szCs w:val="24"/>
          <w:highlight w:val="none"/>
          <w:u w:val="single"/>
          <w:lang w:val="en-US" w:eastAsia="zh-CN"/>
        </w:rPr>
        <w:t xml:space="preserve">            </w:t>
      </w:r>
    </w:p>
    <w:p>
      <w:pPr>
        <w:pStyle w:val="3"/>
        <w:pageBreakBefore w:val="0"/>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3.供货清单</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82"/>
        <w:textAlignment w:val="auto"/>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color w:val="auto"/>
          <w:sz w:val="24"/>
          <w:szCs w:val="24"/>
          <w:highlight w:val="none"/>
        </w:rPr>
        <w:t>供货清单：</w:t>
      </w:r>
      <w:r>
        <w:rPr>
          <w:rFonts w:hint="eastAsia" w:asciiTheme="majorEastAsia" w:hAnsiTheme="majorEastAsia" w:eastAsiaTheme="majorEastAsia" w:cstheme="majorEastAsia"/>
          <w:b/>
          <w:bCs/>
          <w:color w:val="auto"/>
          <w:sz w:val="24"/>
          <w:szCs w:val="24"/>
          <w:highlight w:val="none"/>
        </w:rPr>
        <w:t>本项目采购标的为</w:t>
      </w:r>
      <w:r>
        <w:rPr>
          <w:rFonts w:hint="eastAsia" w:asciiTheme="majorEastAsia" w:hAnsiTheme="majorEastAsia" w:eastAsiaTheme="majorEastAsia" w:cstheme="majorEastAsia"/>
          <w:b/>
          <w:bCs/>
          <w:color w:val="auto"/>
          <w:sz w:val="24"/>
          <w:szCs w:val="24"/>
          <w:highlight w:val="none"/>
          <w:lang w:val="en-US" w:eastAsia="zh-CN"/>
        </w:rPr>
        <w:t>2000口</w:t>
      </w:r>
      <w:r>
        <w:rPr>
          <w:rFonts w:hint="eastAsia" w:asciiTheme="majorEastAsia" w:hAnsiTheme="majorEastAsia" w:eastAsiaTheme="majorEastAsia" w:cstheme="majorEastAsia"/>
          <w:b/>
          <w:bCs/>
          <w:color w:val="auto"/>
          <w:sz w:val="24"/>
          <w:szCs w:val="24"/>
          <w:highlight w:val="none"/>
        </w:rPr>
        <w:t>全塑胶养殖渔排</w:t>
      </w:r>
      <w:r>
        <w:rPr>
          <w:rFonts w:hint="eastAsia" w:asciiTheme="majorEastAsia" w:hAnsiTheme="majorEastAsia" w:eastAsiaTheme="majorEastAsia" w:cstheme="majorEastAsia"/>
          <w:color w:val="auto"/>
          <w:sz w:val="24"/>
          <w:szCs w:val="24"/>
          <w:highlight w:val="none"/>
        </w:rPr>
        <w:t>（规格为单口4m*4m</w:t>
      </w:r>
      <w:r>
        <w:rPr>
          <w:rFonts w:hint="eastAsia" w:asciiTheme="majorEastAsia" w:hAnsiTheme="majorEastAsia" w:eastAsiaTheme="majorEastAsia" w:cstheme="majorEastAsia"/>
          <w:color w:val="auto"/>
          <w:sz w:val="24"/>
          <w:szCs w:val="24"/>
          <w:highlight w:val="none"/>
          <w:lang w:eastAsia="zh-CN"/>
        </w:rPr>
        <w:t>，以渔排框架外沿边长计算</w:t>
      </w:r>
      <w:r>
        <w:rPr>
          <w:rFonts w:hint="eastAsia" w:asciiTheme="majorEastAsia" w:hAnsiTheme="majorEastAsia" w:eastAsiaTheme="majorEastAsia" w:cstheme="majorEastAsia"/>
          <w:color w:val="auto"/>
          <w:sz w:val="24"/>
          <w:szCs w:val="24"/>
          <w:highlight w:val="none"/>
        </w:rPr>
        <w:t>），包含塑胶渔排及其设施的制造、安装、筏架系统、承载构件及固泊系统等，采用单元化制造、模块化布置的方式建设，分布须一单元为一个整体，由若干组组成且每单元排列</w:t>
      </w:r>
      <w:r>
        <w:rPr>
          <w:rFonts w:hint="eastAsia" w:asciiTheme="majorEastAsia" w:hAnsiTheme="majorEastAsia" w:eastAsiaTheme="majorEastAsia" w:cstheme="majorEastAsia"/>
          <w:color w:val="auto"/>
          <w:sz w:val="24"/>
          <w:szCs w:val="24"/>
          <w:highlight w:val="none"/>
          <w:lang w:eastAsia="zh-CN"/>
        </w:rPr>
        <w:t>需</w:t>
      </w:r>
      <w:r>
        <w:rPr>
          <w:rFonts w:hint="eastAsia" w:asciiTheme="majorEastAsia" w:hAnsiTheme="majorEastAsia" w:eastAsiaTheme="majorEastAsia" w:cstheme="majorEastAsia"/>
          <w:color w:val="auto"/>
          <w:sz w:val="24"/>
          <w:szCs w:val="24"/>
          <w:highlight w:val="none"/>
          <w:lang w:val="en-US" w:eastAsia="zh-CN"/>
        </w:rPr>
        <w:t>≤</w:t>
      </w:r>
      <w:r>
        <w:rPr>
          <w:rFonts w:hint="eastAsia" w:asciiTheme="majorEastAsia" w:hAnsiTheme="majorEastAsia" w:eastAsiaTheme="majorEastAsia" w:cstheme="majorEastAsia"/>
          <w:color w:val="auto"/>
          <w:sz w:val="24"/>
          <w:szCs w:val="24"/>
          <w:highlight w:val="none"/>
          <w:lang w:eastAsia="zh-CN"/>
        </w:rPr>
        <w:t>100口，每组排列需</w:t>
      </w:r>
      <w:r>
        <w:rPr>
          <w:rFonts w:hint="eastAsia" w:asciiTheme="majorEastAsia" w:hAnsiTheme="majorEastAsia" w:eastAsiaTheme="majorEastAsia" w:cstheme="majorEastAsia"/>
          <w:color w:val="auto"/>
          <w:sz w:val="24"/>
          <w:szCs w:val="24"/>
          <w:highlight w:val="none"/>
          <w:lang w:val="en-US" w:eastAsia="zh-CN"/>
        </w:rPr>
        <w:t>≤</w:t>
      </w:r>
      <w:r>
        <w:rPr>
          <w:rFonts w:hint="eastAsia" w:asciiTheme="majorEastAsia" w:hAnsiTheme="majorEastAsia" w:eastAsiaTheme="majorEastAsia" w:cstheme="majorEastAsia"/>
          <w:color w:val="auto"/>
          <w:sz w:val="24"/>
          <w:szCs w:val="24"/>
          <w:highlight w:val="none"/>
          <w:lang w:eastAsia="zh-CN"/>
        </w:rPr>
        <w:t>25口</w:t>
      </w:r>
      <w:r>
        <w:rPr>
          <w:rFonts w:hint="eastAsia" w:asciiTheme="majorEastAsia" w:hAnsiTheme="majorEastAsia" w:eastAsiaTheme="majorEastAsia" w:cstheme="majorEastAsia"/>
          <w:color w:val="auto"/>
          <w:sz w:val="24"/>
          <w:szCs w:val="24"/>
          <w:highlight w:val="none"/>
        </w:rPr>
        <w:t>；</w:t>
      </w:r>
      <w:r>
        <w:rPr>
          <w:rFonts w:hint="eastAsia" w:asciiTheme="majorEastAsia" w:hAnsiTheme="majorEastAsia" w:eastAsiaTheme="majorEastAsia" w:cstheme="majorEastAsia"/>
          <w:b/>
          <w:bCs/>
          <w:color w:val="auto"/>
          <w:sz w:val="24"/>
          <w:szCs w:val="24"/>
          <w:highlight w:val="none"/>
          <w:lang w:val="en-US" w:eastAsia="zh-CN"/>
        </w:rPr>
        <w:t>4口深水抗风浪网箱</w:t>
      </w:r>
      <w:r>
        <w:rPr>
          <w:rFonts w:hint="eastAsia" w:asciiTheme="majorEastAsia" w:hAnsiTheme="majorEastAsia" w:eastAsiaTheme="majorEastAsia" w:cstheme="majorEastAsia"/>
          <w:color w:val="auto"/>
          <w:sz w:val="24"/>
          <w:szCs w:val="24"/>
          <w:highlight w:val="none"/>
        </w:rPr>
        <w:t>（</w:t>
      </w:r>
      <w:r>
        <w:rPr>
          <w:rFonts w:hint="eastAsia" w:asciiTheme="majorEastAsia" w:hAnsiTheme="majorEastAsia" w:eastAsiaTheme="majorEastAsia" w:cstheme="majorEastAsia"/>
          <w:b w:val="0"/>
          <w:bCs w:val="0"/>
          <w:color w:val="auto"/>
          <w:sz w:val="24"/>
          <w:szCs w:val="24"/>
          <w:highlight w:val="none"/>
          <w:lang w:eastAsia="zh-CN"/>
        </w:rPr>
        <w:t>规格为</w:t>
      </w:r>
      <w:r>
        <w:rPr>
          <w:rFonts w:hint="eastAsia" w:asciiTheme="majorEastAsia" w:hAnsiTheme="majorEastAsia" w:eastAsiaTheme="majorEastAsia" w:cstheme="majorEastAsia"/>
          <w:b w:val="0"/>
          <w:bCs w:val="0"/>
          <w:color w:val="auto"/>
          <w:sz w:val="24"/>
          <w:szCs w:val="24"/>
          <w:highlight w:val="none"/>
          <w:lang w:val="en-US" w:eastAsia="zh-CN"/>
        </w:rPr>
        <w:t>90m≤</w:t>
      </w:r>
      <w:r>
        <w:rPr>
          <w:rFonts w:hint="eastAsia" w:asciiTheme="majorEastAsia" w:hAnsiTheme="majorEastAsia" w:eastAsiaTheme="majorEastAsia" w:cstheme="majorEastAsia"/>
          <w:b w:val="0"/>
          <w:bCs w:val="0"/>
          <w:color w:val="auto"/>
          <w:sz w:val="24"/>
          <w:szCs w:val="24"/>
          <w:highlight w:val="none"/>
          <w:lang w:eastAsia="zh-CN"/>
        </w:rPr>
        <w:t>周长＜</w:t>
      </w:r>
      <w:r>
        <w:rPr>
          <w:rFonts w:hint="eastAsia" w:asciiTheme="majorEastAsia" w:hAnsiTheme="majorEastAsia" w:eastAsiaTheme="majorEastAsia" w:cstheme="majorEastAsia"/>
          <w:b w:val="0"/>
          <w:bCs w:val="0"/>
          <w:color w:val="auto"/>
          <w:sz w:val="24"/>
          <w:szCs w:val="24"/>
          <w:highlight w:val="none"/>
          <w:lang w:val="en-US" w:eastAsia="zh-CN"/>
        </w:rPr>
        <w:t>120m，以网箱内沿长度计算</w:t>
      </w:r>
      <w:r>
        <w:rPr>
          <w:rFonts w:hint="eastAsia" w:asciiTheme="majorEastAsia" w:hAnsiTheme="majorEastAsia" w:eastAsiaTheme="majorEastAsia" w:cstheme="majorEastAsia"/>
          <w:b w:val="0"/>
          <w:bCs w:val="0"/>
          <w:color w:val="auto"/>
          <w:sz w:val="24"/>
          <w:szCs w:val="24"/>
          <w:highlight w:val="none"/>
        </w:rPr>
        <w:t>）包含</w:t>
      </w:r>
      <w:r>
        <w:rPr>
          <w:rFonts w:hint="eastAsia" w:asciiTheme="majorEastAsia" w:hAnsiTheme="majorEastAsia" w:eastAsiaTheme="majorEastAsia" w:cstheme="majorEastAsia"/>
          <w:b w:val="0"/>
          <w:bCs w:val="0"/>
          <w:color w:val="auto"/>
          <w:sz w:val="24"/>
          <w:szCs w:val="24"/>
          <w:highlight w:val="none"/>
          <w:lang w:eastAsia="zh-CN"/>
        </w:rPr>
        <w:t>深水抗风浪网箱</w:t>
      </w:r>
      <w:r>
        <w:rPr>
          <w:rFonts w:hint="eastAsia" w:asciiTheme="majorEastAsia" w:hAnsiTheme="majorEastAsia" w:eastAsiaTheme="majorEastAsia" w:cstheme="majorEastAsia"/>
          <w:b w:val="0"/>
          <w:bCs w:val="0"/>
          <w:color w:val="auto"/>
          <w:sz w:val="24"/>
          <w:szCs w:val="24"/>
          <w:highlight w:val="none"/>
        </w:rPr>
        <w:t>平</w:t>
      </w:r>
      <w:r>
        <w:rPr>
          <w:rFonts w:hint="eastAsia" w:asciiTheme="majorEastAsia" w:hAnsiTheme="majorEastAsia" w:eastAsiaTheme="majorEastAsia" w:cstheme="majorEastAsia"/>
          <w:color w:val="auto"/>
          <w:sz w:val="24"/>
          <w:szCs w:val="24"/>
          <w:highlight w:val="none"/>
        </w:rPr>
        <w:t>台及其设施的制造、安装、承载构件及固泊系统等，采用单元化制造、模块化布置的方式建设</w:t>
      </w:r>
      <w:r>
        <w:rPr>
          <w:rFonts w:hint="eastAsia" w:asciiTheme="majorEastAsia" w:hAnsiTheme="majorEastAsia" w:eastAsiaTheme="majorEastAsia" w:cstheme="majorEastAsia"/>
          <w:color w:val="auto"/>
          <w:sz w:val="24"/>
          <w:szCs w:val="24"/>
          <w:highlight w:val="none"/>
          <w:lang w:eastAsia="zh-CN"/>
        </w:rPr>
        <w:t>。渔排以及网箱</w:t>
      </w:r>
      <w:r>
        <w:rPr>
          <w:rFonts w:hint="eastAsia" w:asciiTheme="majorEastAsia" w:hAnsiTheme="majorEastAsia" w:eastAsiaTheme="majorEastAsia" w:cstheme="majorEastAsia"/>
          <w:color w:val="auto"/>
          <w:sz w:val="24"/>
          <w:szCs w:val="24"/>
          <w:highlight w:val="none"/>
        </w:rPr>
        <w:t>建造技术要求按照</w:t>
      </w:r>
      <w:r>
        <w:rPr>
          <w:rStyle w:val="25"/>
          <w:rFonts w:hint="eastAsia" w:asciiTheme="majorEastAsia" w:hAnsiTheme="majorEastAsia" w:eastAsiaTheme="majorEastAsia" w:cstheme="majorEastAsia"/>
          <w:b w:val="0"/>
          <w:bCs/>
          <w:color w:val="auto"/>
          <w:kern w:val="2"/>
          <w:sz w:val="24"/>
          <w:szCs w:val="24"/>
          <w:highlight w:val="none"/>
          <w:lang w:val="en-US" w:eastAsia="zh-CN" w:bidi="ar-SA"/>
        </w:rPr>
        <w:t>《莆田市海洋与渔业局关于印发《莆田海上养殖设施建设技术要求（试行）》的通知》（莆海渔〔2021〕78号）以及</w:t>
      </w:r>
      <w:r>
        <w:rPr>
          <w:rFonts w:hint="eastAsia" w:asciiTheme="majorEastAsia" w:hAnsiTheme="majorEastAsia" w:eastAsiaTheme="majorEastAsia" w:cstheme="majorEastAsia"/>
          <w:color w:val="auto"/>
          <w:sz w:val="24"/>
          <w:szCs w:val="24"/>
          <w:highlight w:val="none"/>
        </w:rPr>
        <w:t>《福建省海洋与渔业局关于印发《福建省设施渔业项目建设技术要求（2018）》的通知》闽海渔〔2018〕214号。</w:t>
      </w:r>
    </w:p>
    <w:p>
      <w:pPr>
        <w:pStyle w:val="3"/>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4.付款方式与条件</w:t>
      </w:r>
    </w:p>
    <w:tbl>
      <w:tblPr>
        <w:tblStyle w:val="22"/>
        <w:tblW w:w="0" w:type="auto"/>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9"/>
        <w:gridCol w:w="7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pageBreakBefore w:val="0"/>
              <w:widowControl/>
              <w:kinsoku/>
              <w:wordWrap/>
              <w:overflowPunct/>
              <w:topLinePunct w:val="0"/>
              <w:autoSpaceDE/>
              <w:autoSpaceDN/>
              <w:bidi w:val="0"/>
              <w:adjustRightInd/>
              <w:snapToGrid/>
              <w:spacing w:line="400" w:lineRule="exact"/>
              <w:ind w:left="0" w:leftChars="0" w:firstLine="0" w:firstLineChars="0"/>
              <w:jc w:val="left"/>
              <w:textAlignment w:val="auto"/>
              <w:rPr>
                <w:color w:val="auto"/>
                <w:sz w:val="24"/>
                <w:szCs w:val="24"/>
                <w:highlight w:val="none"/>
                <w:vertAlign w:val="baseline"/>
              </w:rPr>
            </w:pPr>
            <w:r>
              <w:rPr>
                <w:rFonts w:hint="eastAsia" w:asciiTheme="majorEastAsia" w:hAnsiTheme="majorEastAsia" w:eastAsiaTheme="majorEastAsia" w:cstheme="majorEastAsia"/>
                <w:b/>
                <w:bCs/>
                <w:color w:val="auto"/>
                <w:kern w:val="0"/>
                <w:sz w:val="24"/>
                <w:szCs w:val="24"/>
                <w:highlight w:val="none"/>
              </w:rPr>
              <w:t>支付期次</w:t>
            </w:r>
          </w:p>
        </w:tc>
        <w:tc>
          <w:tcPr>
            <w:tcW w:w="7141" w:type="dxa"/>
            <w:vAlign w:val="center"/>
          </w:tcPr>
          <w:p>
            <w:pPr>
              <w:pageBreakBefore w:val="0"/>
              <w:widowControl/>
              <w:kinsoku/>
              <w:wordWrap/>
              <w:overflowPunct/>
              <w:topLinePunct w:val="0"/>
              <w:autoSpaceDE/>
              <w:autoSpaceDN/>
              <w:bidi w:val="0"/>
              <w:adjustRightInd/>
              <w:snapToGrid/>
              <w:spacing w:line="400" w:lineRule="exact"/>
              <w:jc w:val="left"/>
              <w:textAlignment w:val="auto"/>
              <w:rPr>
                <w:color w:val="auto"/>
                <w:sz w:val="24"/>
                <w:szCs w:val="24"/>
                <w:highlight w:val="none"/>
                <w:vertAlign w:val="baseline"/>
              </w:rPr>
            </w:pPr>
            <w:r>
              <w:rPr>
                <w:rFonts w:hint="eastAsia" w:asciiTheme="majorEastAsia" w:hAnsiTheme="majorEastAsia" w:eastAsiaTheme="majorEastAsia" w:cstheme="majorEastAsia"/>
                <w:b/>
                <w:bCs/>
                <w:color w:val="auto"/>
                <w:kern w:val="0"/>
                <w:sz w:val="24"/>
                <w:szCs w:val="24"/>
                <w:highlight w:val="none"/>
              </w:rPr>
              <w:t>支付期次说明（</w:t>
            </w:r>
            <w:r>
              <w:rPr>
                <w:rFonts w:hint="eastAsia" w:asciiTheme="majorEastAsia" w:hAnsiTheme="majorEastAsia" w:eastAsiaTheme="majorEastAsia" w:cstheme="majorEastAsia"/>
                <w:b/>
                <w:bCs/>
                <w:color w:val="auto"/>
                <w:sz w:val="24"/>
                <w:szCs w:val="24"/>
                <w:highlight w:val="none"/>
              </w:rPr>
              <w:t>资金申请期间，不计利息）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1</w:t>
            </w:r>
          </w:p>
        </w:tc>
        <w:tc>
          <w:tcPr>
            <w:tcW w:w="7141" w:type="dxa"/>
            <w:vAlign w:val="center"/>
          </w:tcPr>
          <w:p>
            <w:pPr>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合同签订后，按照渔排完成安装的数量拨付货款。</w:t>
            </w:r>
          </w:p>
          <w:p>
            <w:pPr>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中标人完成全塑胶养殖渔排200口的安装固锚后，在收到中标人提供等额正式发票10个工作日内，招标人支付至合同总额的5%；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2</w:t>
            </w:r>
          </w:p>
        </w:tc>
        <w:tc>
          <w:tcPr>
            <w:tcW w:w="7141" w:type="dxa"/>
            <w:vAlign w:val="center"/>
          </w:tcPr>
          <w:p>
            <w:pPr>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中标人完成全塑胶养殖渔排500口的安装固锚后，在收到中标人提供等额正式发票10个工作日内，招标人支付至合同总额的15%；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3</w:t>
            </w:r>
          </w:p>
        </w:tc>
        <w:tc>
          <w:tcPr>
            <w:tcW w:w="7141" w:type="dxa"/>
            <w:vAlign w:val="center"/>
          </w:tcPr>
          <w:p>
            <w:pPr>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中标人完成全塑胶养殖渔排1000口的安装固锚后，在收到中标人提供等额正式发票10个工作日内，招标人支付至合同总额的30%；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4</w:t>
            </w:r>
          </w:p>
        </w:tc>
        <w:tc>
          <w:tcPr>
            <w:tcW w:w="7141" w:type="dxa"/>
            <w:vAlign w:val="center"/>
          </w:tcPr>
          <w:p>
            <w:pPr>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中标人完成全塑胶养殖渔排1500口的安装固锚后，在收到中标人提供等额正式发票10个工作日内，招标人支付至合同总额的45%；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5</w:t>
            </w:r>
          </w:p>
        </w:tc>
        <w:tc>
          <w:tcPr>
            <w:tcW w:w="7141" w:type="dxa"/>
            <w:vAlign w:val="center"/>
          </w:tcPr>
          <w:p>
            <w:pPr>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中标人完成2000口全塑胶养殖渔排与4口深水抗风浪网箱的安装固锚后，在收到中标人提供等额正式发票10个工作日内，招标人支付至合同总额的60%；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6</w:t>
            </w:r>
          </w:p>
        </w:tc>
        <w:tc>
          <w:tcPr>
            <w:tcW w:w="7141" w:type="dxa"/>
            <w:vAlign w:val="center"/>
          </w:tcPr>
          <w:p>
            <w:pPr>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中标人通过</w:t>
            </w:r>
            <w:r>
              <w:rPr>
                <w:rFonts w:hint="eastAsia" w:ascii="宋体" w:hAnsi="宋体" w:cs="Times New Roman"/>
                <w:color w:val="auto"/>
                <w:kern w:val="2"/>
                <w:sz w:val="24"/>
                <w:szCs w:val="24"/>
                <w:highlight w:val="none"/>
                <w:lang w:val="en-US" w:eastAsia="zh-CN" w:bidi="ar-SA"/>
              </w:rPr>
              <w:t>行业</w:t>
            </w:r>
            <w:r>
              <w:rPr>
                <w:rFonts w:hint="eastAsia" w:ascii="宋体" w:hAnsi="宋体" w:eastAsia="宋体" w:cs="Times New Roman"/>
                <w:color w:val="auto"/>
                <w:kern w:val="2"/>
                <w:sz w:val="24"/>
                <w:szCs w:val="24"/>
                <w:highlight w:val="none"/>
                <w:lang w:val="en-US" w:eastAsia="zh-CN" w:bidi="ar-SA"/>
              </w:rPr>
              <w:t>主管部门验收合格后，在收到中标人提供等额正式发票10个工作日内，招标人支付至合同总额的75%；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7</w:t>
            </w:r>
          </w:p>
        </w:tc>
        <w:tc>
          <w:tcPr>
            <w:tcW w:w="7141" w:type="dxa"/>
            <w:vAlign w:val="center"/>
          </w:tcPr>
          <w:p>
            <w:pPr>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招标人向</w:t>
            </w:r>
            <w:r>
              <w:rPr>
                <w:rFonts w:hint="eastAsia" w:ascii="宋体" w:hAnsi="宋体" w:cs="Times New Roman"/>
                <w:color w:val="auto"/>
                <w:kern w:val="2"/>
                <w:sz w:val="24"/>
                <w:szCs w:val="24"/>
                <w:highlight w:val="none"/>
                <w:lang w:val="en-US" w:eastAsia="zh-CN" w:bidi="ar-SA"/>
              </w:rPr>
              <w:t>行业</w:t>
            </w:r>
            <w:r>
              <w:rPr>
                <w:rFonts w:hint="eastAsia" w:ascii="宋体" w:hAnsi="宋体" w:eastAsia="宋体" w:cs="Times New Roman"/>
                <w:color w:val="auto"/>
                <w:kern w:val="2"/>
                <w:sz w:val="24"/>
                <w:szCs w:val="24"/>
                <w:highlight w:val="none"/>
                <w:lang w:val="en-US" w:eastAsia="zh-CN" w:bidi="ar-SA"/>
              </w:rPr>
              <w:t>主管部门申请补助资金，且该补助资金下达甲方单位后，在收到中标人提供等额正式发票10个工作日内，招标人支付至合同总额的90%；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8</w:t>
            </w:r>
          </w:p>
        </w:tc>
        <w:tc>
          <w:tcPr>
            <w:tcW w:w="7141" w:type="dxa"/>
            <w:vAlign w:val="center"/>
          </w:tcPr>
          <w:p>
            <w:pPr>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合同金额余下的10%作为项目质保金，第一年质保期结束，在收到中标人提供等额正式发票10个工作日内，招标人支付至合同总额的92%，第二年质保期结束，在收到中标人提供等额正式发票10个工作日内，招标人支付至合同总额的95%，第三年质保期结束，在收到中标人提供等额正式发票10个工作日内，招标人支付至合同总额的100%</w:t>
            </w:r>
            <w:r>
              <w:rPr>
                <w:rFonts w:hint="eastAsia" w:ascii="宋体" w:hAnsi="宋体" w:cs="Times New Roman"/>
                <w:color w:val="auto"/>
                <w:kern w:val="2"/>
                <w:sz w:val="24"/>
                <w:szCs w:val="24"/>
                <w:highlight w:val="none"/>
                <w:lang w:val="en-US" w:eastAsia="zh-CN" w:bidi="ar-SA"/>
              </w:rPr>
              <w:t>。</w:t>
            </w:r>
          </w:p>
        </w:tc>
      </w:tr>
    </w:tbl>
    <w:p>
      <w:pPr>
        <w:pStyle w:val="3"/>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5.交货期限</w:t>
      </w: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sz w:val="24"/>
          <w:szCs w:val="24"/>
          <w:highlight w:val="none"/>
        </w:rPr>
      </w:pPr>
      <w:r>
        <w:rPr>
          <w:rFonts w:hint="eastAsia" w:ascii="宋体" w:hAnsi="宋体" w:eastAsia="宋体" w:cs="Times New Roman"/>
          <w:color w:val="auto"/>
          <w:kern w:val="2"/>
          <w:sz w:val="24"/>
          <w:szCs w:val="24"/>
          <w:highlight w:val="none"/>
          <w:u w:val="single"/>
          <w:lang w:val="en-US" w:eastAsia="zh-CN" w:bidi="ar-SA"/>
        </w:rPr>
        <w:t>签订合同后（签订合同当天起算）必须在120天（日历天）内完成全部供货</w:t>
      </w:r>
      <w:r>
        <w:rPr>
          <w:rFonts w:hint="eastAsia" w:asciiTheme="majorEastAsia" w:hAnsiTheme="majorEastAsia" w:eastAsiaTheme="majorEastAsia" w:cstheme="majorEastAsia"/>
          <w:color w:val="auto"/>
          <w:sz w:val="24"/>
          <w:szCs w:val="24"/>
          <w:highlight w:val="none"/>
        </w:rPr>
        <w:t>。</w:t>
      </w:r>
    </w:p>
    <w:p>
      <w:pPr>
        <w:pStyle w:val="3"/>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6.安装地点</w:t>
      </w:r>
    </w:p>
    <w:p>
      <w:pPr>
        <w:pageBreakBefore w:val="0"/>
        <w:kinsoku/>
        <w:wordWrap/>
        <w:overflowPunct/>
        <w:topLinePunct w:val="0"/>
        <w:autoSpaceDE/>
        <w:autoSpaceDN/>
        <w:bidi w:val="0"/>
        <w:adjustRightInd/>
        <w:snapToGrid/>
        <w:spacing w:line="400" w:lineRule="exact"/>
        <w:ind w:firstLine="480"/>
        <w:textAlignment w:val="auto"/>
        <w:rPr>
          <w:rFonts w:hint="default" w:asciiTheme="majorEastAsia" w:hAnsiTheme="majorEastAsia" w:eastAsiaTheme="majorEastAsia" w:cstheme="majorEastAsia"/>
          <w:b/>
          <w:color w:val="auto"/>
          <w:sz w:val="24"/>
          <w:szCs w:val="24"/>
          <w:highlight w:val="none"/>
          <w:u w:val="single"/>
          <w:lang w:val="en-US" w:eastAsia="zh-CN"/>
        </w:rPr>
      </w:pPr>
      <w:r>
        <w:rPr>
          <w:rFonts w:hint="eastAsia" w:asciiTheme="majorEastAsia" w:hAnsiTheme="majorEastAsia" w:eastAsiaTheme="majorEastAsia" w:cstheme="majorEastAsia"/>
          <w:color w:val="auto"/>
          <w:sz w:val="24"/>
          <w:szCs w:val="24"/>
          <w:highlight w:val="none"/>
          <w:u w:val="single"/>
        </w:rPr>
        <w:t>莆田市秀屿区南日镇东岱村东岱湾</w:t>
      </w:r>
      <w:r>
        <w:rPr>
          <w:rFonts w:hint="eastAsia" w:asciiTheme="majorEastAsia" w:hAnsiTheme="majorEastAsia" w:eastAsiaTheme="majorEastAsia" w:cstheme="majorEastAsia"/>
          <w:color w:val="auto"/>
          <w:sz w:val="24"/>
          <w:szCs w:val="24"/>
          <w:highlight w:val="none"/>
          <w:u w:val="single"/>
          <w:lang w:val="en-US" w:eastAsia="zh-CN"/>
        </w:rPr>
        <w:t xml:space="preserve">  </w:t>
      </w:r>
      <w:r>
        <w:rPr>
          <w:rFonts w:hint="eastAsia" w:asciiTheme="majorEastAsia" w:hAnsiTheme="majorEastAsia" w:eastAsiaTheme="majorEastAsia" w:cstheme="majorEastAsia"/>
          <w:color w:val="auto"/>
          <w:sz w:val="24"/>
          <w:szCs w:val="24"/>
          <w:highlight w:val="none"/>
        </w:rPr>
        <w:t>。</w:t>
      </w:r>
    </w:p>
    <w:p>
      <w:pPr>
        <w:pStyle w:val="3"/>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7.质量要求和技术标准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lang w:val="en-US" w:eastAsia="zh-CN"/>
        </w:rPr>
        <w:t>7.1全塑胶养殖渔排主要材料及技术要求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全塑胶养殖渔排的框架、浮球均采用高密度聚乙烯（HDPE）等非再生塑胶材料。</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7.1.1、</w:t>
      </w:r>
      <w:r>
        <w:rPr>
          <w:rFonts w:hint="eastAsia" w:asciiTheme="majorEastAsia" w:hAnsiTheme="majorEastAsia" w:eastAsiaTheme="majorEastAsia" w:cstheme="majorEastAsia"/>
          <w:color w:val="auto"/>
          <w:sz w:val="24"/>
          <w:szCs w:val="24"/>
          <w:highlight w:val="none"/>
        </w:rPr>
        <w:t>全塑胶养殖渔排分为管式塑胶渔排与板式塑胶渔排两种类型，两种类型塑胶渔排的网箱框架均为方形。</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7.1.1.1</w:t>
      </w:r>
      <w:r>
        <w:rPr>
          <w:rFonts w:hint="eastAsia" w:asciiTheme="majorEastAsia" w:hAnsiTheme="majorEastAsia" w:eastAsiaTheme="majorEastAsia" w:cstheme="majorEastAsia"/>
          <w:color w:val="auto"/>
          <w:sz w:val="24"/>
          <w:szCs w:val="24"/>
          <w:highlight w:val="none"/>
        </w:rPr>
        <w:t>管式塑胶渔排：由支架、走道垫片、浮球等组成。</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支架管材的外径不小于110毫米，壁厚不小于10毫米；走道垫片的宽度不小于50厘米，厚度不小于30毫米。</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7.1.1.2</w:t>
      </w:r>
      <w:r>
        <w:rPr>
          <w:rFonts w:hint="eastAsia" w:asciiTheme="majorEastAsia" w:hAnsiTheme="majorEastAsia" w:eastAsiaTheme="majorEastAsia" w:cstheme="majorEastAsia"/>
          <w:color w:val="auto"/>
          <w:sz w:val="24"/>
          <w:szCs w:val="24"/>
          <w:highlight w:val="none"/>
        </w:rPr>
        <w:t>板式塑胶渔排：由走道板、浮球等组成。</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rPr>
        <w:t>走道板的宽度不小于</w:t>
      </w:r>
      <w:r>
        <w:rPr>
          <w:rFonts w:hint="eastAsia" w:asciiTheme="majorEastAsia" w:hAnsiTheme="majorEastAsia" w:eastAsiaTheme="majorEastAsia" w:cstheme="majorEastAsia"/>
          <w:color w:val="auto"/>
          <w:sz w:val="24"/>
          <w:szCs w:val="24"/>
          <w:highlight w:val="none"/>
          <w:lang w:val="en-US" w:eastAsia="zh-CN"/>
        </w:rPr>
        <w:t>50</w:t>
      </w:r>
      <w:r>
        <w:rPr>
          <w:rFonts w:hint="eastAsia" w:asciiTheme="majorEastAsia" w:hAnsiTheme="majorEastAsia" w:eastAsiaTheme="majorEastAsia" w:cstheme="majorEastAsia"/>
          <w:color w:val="auto"/>
          <w:sz w:val="24"/>
          <w:szCs w:val="24"/>
          <w:highlight w:val="none"/>
        </w:rPr>
        <w:t>厘米，厚度不小于75毫米，四周壁厚不小于10毫米</w:t>
      </w: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color w:val="auto"/>
          <w:sz w:val="24"/>
          <w:szCs w:val="24"/>
          <w:highlight w:val="none"/>
        </w:rPr>
        <w:t>每米重量不小于13千克</w:t>
      </w:r>
      <w:r>
        <w:rPr>
          <w:rFonts w:hint="eastAsia" w:asciiTheme="majorEastAsia" w:hAnsiTheme="majorEastAsia" w:eastAsiaTheme="majorEastAsia" w:cstheme="majorEastAsia"/>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7.1.2</w:t>
      </w:r>
      <w:r>
        <w:rPr>
          <w:rFonts w:hint="eastAsia" w:asciiTheme="majorEastAsia" w:hAnsiTheme="majorEastAsia" w:eastAsiaTheme="majorEastAsia" w:cstheme="majorEastAsia"/>
          <w:color w:val="auto"/>
          <w:sz w:val="24"/>
          <w:szCs w:val="24"/>
          <w:highlight w:val="none"/>
        </w:rPr>
        <w:t>渔排塑胶浮球</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rPr>
        <w:t>渔排塑胶浮球材质为HDPE，全塑胶养殖渔排均采用圆柱形塑胶浮球，其直径不小于50厘米，长度不小于90厘米,最小壁厚5毫米，每粒重量不小于12.88千克</w:t>
      </w: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color w:val="auto"/>
          <w:sz w:val="24"/>
          <w:szCs w:val="24"/>
          <w:highlight w:val="none"/>
        </w:rPr>
        <w:t>数量配置需满足渔排整体浮力要求，且浮力不应小于标准浮力的95%，浮筒水上部分高度不小于</w:t>
      </w:r>
      <w:r>
        <w:rPr>
          <w:rFonts w:hint="eastAsia" w:asciiTheme="majorEastAsia" w:hAnsiTheme="majorEastAsia" w:eastAsiaTheme="majorEastAsia" w:cstheme="majorEastAsia"/>
          <w:color w:val="auto"/>
          <w:sz w:val="24"/>
          <w:szCs w:val="24"/>
          <w:highlight w:val="none"/>
          <w:lang w:val="en-US" w:eastAsia="zh-CN"/>
        </w:rPr>
        <w:t>270</w:t>
      </w:r>
      <w:r>
        <w:rPr>
          <w:rFonts w:hint="eastAsia" w:asciiTheme="majorEastAsia" w:hAnsiTheme="majorEastAsia" w:eastAsiaTheme="majorEastAsia" w:cstheme="majorEastAsia"/>
          <w:color w:val="auto"/>
          <w:sz w:val="24"/>
          <w:szCs w:val="24"/>
          <w:highlight w:val="none"/>
        </w:rPr>
        <w:t>毫米；</w:t>
      </w:r>
      <w:r>
        <w:rPr>
          <w:rFonts w:hint="eastAsia" w:asciiTheme="majorEastAsia" w:hAnsiTheme="majorEastAsia" w:eastAsiaTheme="majorEastAsia" w:cstheme="majorEastAsia"/>
          <w:color w:val="auto"/>
          <w:sz w:val="24"/>
          <w:szCs w:val="24"/>
          <w:highlight w:val="none"/>
          <w:lang w:eastAsia="zh-CN"/>
        </w:rPr>
        <w:t>浮筒锁口处高度不小于水面</w:t>
      </w:r>
      <w:r>
        <w:rPr>
          <w:rFonts w:hint="eastAsia" w:asciiTheme="majorEastAsia" w:hAnsiTheme="majorEastAsia" w:eastAsiaTheme="majorEastAsia" w:cstheme="majorEastAsia"/>
          <w:color w:val="auto"/>
          <w:sz w:val="24"/>
          <w:szCs w:val="24"/>
          <w:highlight w:val="none"/>
          <w:lang w:val="en-US" w:eastAsia="zh-CN"/>
        </w:rPr>
        <w:t>270毫米。</w:t>
      </w:r>
      <w:r>
        <w:rPr>
          <w:rFonts w:hint="eastAsia" w:asciiTheme="majorEastAsia" w:hAnsiTheme="majorEastAsia" w:eastAsiaTheme="majorEastAsia" w:cstheme="majorEastAsia"/>
          <w:color w:val="auto"/>
          <w:sz w:val="24"/>
          <w:szCs w:val="24"/>
          <w:highlight w:val="none"/>
        </w:rPr>
        <w:t>走道板与浮球连接方式采用360丝以上黑色PE绳子捆扎，捆扎三圈以上</w:t>
      </w:r>
      <w:r>
        <w:rPr>
          <w:rFonts w:hint="eastAsia" w:asciiTheme="majorEastAsia" w:hAnsiTheme="majorEastAsia" w:eastAsiaTheme="majorEastAsia" w:cstheme="majorEastAsia"/>
          <w:color w:val="auto"/>
          <w:sz w:val="24"/>
          <w:szCs w:val="24"/>
          <w:highlight w:val="none"/>
          <w:lang w:eastAsia="zh-CN"/>
        </w:rPr>
        <w:t>，每口的踏板均</w:t>
      </w:r>
      <w:r>
        <w:rPr>
          <w:rFonts w:hint="eastAsia" w:asciiTheme="majorEastAsia" w:hAnsiTheme="majorEastAsia" w:eastAsiaTheme="majorEastAsia" w:cstheme="majorEastAsia"/>
          <w:color w:val="auto"/>
          <w:sz w:val="24"/>
          <w:szCs w:val="24"/>
          <w:highlight w:val="none"/>
        </w:rPr>
        <w:t>应捆扎3个</w:t>
      </w:r>
      <w:r>
        <w:rPr>
          <w:rFonts w:hint="eastAsia" w:asciiTheme="majorEastAsia" w:hAnsiTheme="majorEastAsia" w:eastAsiaTheme="majorEastAsia" w:cstheme="majorEastAsia"/>
          <w:color w:val="auto"/>
          <w:sz w:val="24"/>
          <w:szCs w:val="24"/>
          <w:highlight w:val="none"/>
          <w:lang w:eastAsia="zh-CN"/>
        </w:rPr>
        <w:t>及以上</w:t>
      </w:r>
      <w:r>
        <w:rPr>
          <w:rFonts w:hint="eastAsia" w:asciiTheme="majorEastAsia" w:hAnsiTheme="majorEastAsia" w:eastAsiaTheme="majorEastAsia" w:cstheme="majorEastAsia"/>
          <w:color w:val="auto"/>
          <w:sz w:val="24"/>
          <w:szCs w:val="24"/>
          <w:highlight w:val="none"/>
        </w:rPr>
        <w:t>塑胶浮球</w:t>
      </w:r>
      <w:r>
        <w:rPr>
          <w:rFonts w:hint="eastAsia" w:asciiTheme="majorEastAsia" w:hAnsiTheme="majorEastAsia" w:eastAsiaTheme="majorEastAsia" w:cstheme="majorEastAsia"/>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lang w:val="en-US" w:eastAsia="zh-CN"/>
        </w:rPr>
        <w:t>7.1.3</w:t>
      </w:r>
      <w:r>
        <w:rPr>
          <w:rFonts w:hint="eastAsia" w:asciiTheme="majorEastAsia" w:hAnsiTheme="majorEastAsia" w:eastAsiaTheme="majorEastAsia" w:cstheme="majorEastAsia"/>
          <w:color w:val="auto"/>
          <w:sz w:val="24"/>
          <w:szCs w:val="24"/>
          <w:highlight w:val="none"/>
          <w:lang w:eastAsia="zh-CN"/>
        </w:rPr>
        <w:t>每组渔排连接采用轮胎（轮胎尺寸不小于</w:t>
      </w:r>
      <w:r>
        <w:rPr>
          <w:rFonts w:hint="eastAsia" w:asciiTheme="majorEastAsia" w:hAnsiTheme="majorEastAsia" w:eastAsiaTheme="majorEastAsia" w:cstheme="majorEastAsia"/>
          <w:color w:val="auto"/>
          <w:sz w:val="24"/>
          <w:szCs w:val="24"/>
          <w:highlight w:val="none"/>
          <w:lang w:val="en-US" w:eastAsia="zh-CN"/>
        </w:rPr>
        <w:t>16寸，具体以实际情况为准）</w:t>
      </w:r>
      <w:r>
        <w:rPr>
          <w:rFonts w:hint="eastAsia" w:asciiTheme="majorEastAsia" w:hAnsiTheme="majorEastAsia" w:eastAsiaTheme="majorEastAsia" w:cstheme="majorEastAsia"/>
          <w:color w:val="auto"/>
          <w:sz w:val="24"/>
          <w:szCs w:val="24"/>
          <w:highlight w:val="none"/>
          <w:lang w:eastAsia="zh-CN"/>
        </w:rPr>
        <w:t>、PE绳捆绑连接方式，顺流与横流踏板连接处需捆绑不少于1个轮胎。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7.1.4</w:t>
      </w:r>
      <w:r>
        <w:rPr>
          <w:rFonts w:hint="eastAsia" w:asciiTheme="majorEastAsia" w:hAnsiTheme="majorEastAsia" w:eastAsiaTheme="majorEastAsia" w:cstheme="majorEastAsia"/>
          <w:color w:val="auto"/>
          <w:sz w:val="24"/>
          <w:szCs w:val="24"/>
          <w:highlight w:val="none"/>
        </w:rPr>
        <w:t>渔排锚固设施</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每单元渔排需锚固20组，每组锚绳长度是最高潮位水深的4倍，锚绳直径32毫米以上的PP或HDPE锚绳，渔排锚固采用5</w:t>
      </w:r>
      <w:r>
        <w:rPr>
          <w:rFonts w:hint="eastAsia" w:asciiTheme="majorEastAsia" w:hAnsiTheme="majorEastAsia" w:eastAsiaTheme="majorEastAsia" w:cstheme="majorEastAsia"/>
          <w:color w:val="auto"/>
          <w:sz w:val="24"/>
          <w:szCs w:val="24"/>
          <w:highlight w:val="none"/>
          <w:lang w:eastAsia="zh-CN"/>
        </w:rPr>
        <w:t>吨</w:t>
      </w:r>
      <w:r>
        <w:rPr>
          <w:rFonts w:hint="eastAsia" w:asciiTheme="majorEastAsia" w:hAnsiTheme="majorEastAsia" w:eastAsiaTheme="majorEastAsia" w:cstheme="majorEastAsia"/>
          <w:color w:val="auto"/>
          <w:sz w:val="24"/>
          <w:szCs w:val="24"/>
          <w:highlight w:val="none"/>
        </w:rPr>
        <w:t>以上的</w:t>
      </w:r>
      <w:r>
        <w:rPr>
          <w:rFonts w:hint="eastAsia" w:asciiTheme="majorEastAsia" w:hAnsiTheme="majorEastAsia" w:eastAsiaTheme="majorEastAsia" w:cstheme="majorEastAsia"/>
          <w:color w:val="auto"/>
          <w:sz w:val="24"/>
          <w:szCs w:val="24"/>
          <w:highlight w:val="none"/>
          <w:lang w:eastAsia="zh-CN"/>
        </w:rPr>
        <w:t>块石或</w:t>
      </w:r>
      <w:r>
        <w:rPr>
          <w:rFonts w:hint="eastAsia" w:asciiTheme="majorEastAsia" w:hAnsiTheme="majorEastAsia" w:eastAsiaTheme="majorEastAsia" w:cstheme="majorEastAsia"/>
          <w:color w:val="auto"/>
          <w:sz w:val="24"/>
          <w:szCs w:val="24"/>
          <w:highlight w:val="none"/>
          <w:lang w:val="en-US" w:eastAsia="zh-CN"/>
        </w:rPr>
        <w:t>3吨以上</w:t>
      </w:r>
      <w:r>
        <w:rPr>
          <w:rFonts w:hint="eastAsia" w:asciiTheme="majorEastAsia" w:hAnsiTheme="majorEastAsia" w:eastAsiaTheme="majorEastAsia" w:cstheme="majorEastAsia"/>
          <w:color w:val="auto"/>
          <w:sz w:val="24"/>
          <w:szCs w:val="24"/>
          <w:highlight w:val="none"/>
        </w:rPr>
        <w:t>水泥制作锚。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7.1.5每</w:t>
      </w:r>
      <w:r>
        <w:rPr>
          <w:rFonts w:hint="eastAsia" w:asciiTheme="majorEastAsia" w:hAnsiTheme="majorEastAsia" w:eastAsiaTheme="majorEastAsia" w:cstheme="majorEastAsia"/>
          <w:color w:val="auto"/>
          <w:sz w:val="24"/>
          <w:szCs w:val="24"/>
          <w:highlight w:val="none"/>
          <w:lang w:eastAsia="zh-CN"/>
        </w:rPr>
        <w:t>单元渔排顺流方向应设置排头，排头采用</w:t>
      </w:r>
      <w:r>
        <w:rPr>
          <w:rFonts w:hint="eastAsia" w:asciiTheme="majorEastAsia" w:hAnsiTheme="majorEastAsia" w:eastAsiaTheme="majorEastAsia" w:cstheme="majorEastAsia"/>
          <w:color w:val="auto"/>
          <w:sz w:val="24"/>
          <w:szCs w:val="24"/>
          <w:highlight w:val="none"/>
        </w:rPr>
        <w:t>高密度聚乙烯（HDPE）等非再生塑胶材料。</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Theme="majorEastAsia" w:hAnsiTheme="majorEastAsia" w:eastAsiaTheme="majorEastAsia" w:cstheme="majorEastAsia"/>
          <w:b w:val="0"/>
          <w:bCs/>
          <w:color w:val="auto"/>
          <w:kern w:val="2"/>
          <w:sz w:val="24"/>
          <w:szCs w:val="24"/>
          <w:highlight w:val="none"/>
          <w:lang w:val="en-US" w:eastAsia="zh-CN" w:bidi="ar-SA"/>
        </w:rPr>
      </w:pPr>
      <w:r>
        <w:rPr>
          <w:rFonts w:hint="eastAsia" w:asciiTheme="majorEastAsia" w:hAnsiTheme="majorEastAsia" w:eastAsiaTheme="majorEastAsia" w:cstheme="majorEastAsia"/>
          <w:b w:val="0"/>
          <w:bCs/>
          <w:color w:val="auto"/>
          <w:kern w:val="2"/>
          <w:sz w:val="24"/>
          <w:szCs w:val="24"/>
          <w:highlight w:val="none"/>
          <w:lang w:val="en-US" w:eastAsia="zh-CN" w:bidi="ar-SA"/>
        </w:rPr>
        <w:t>7.2深水抗风浪网箱主要材料及技术要求</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7.2.1深水抗风浪养殖网箱包括:网箱框架、固泊、养殖操作平台(根据实际需要而建)等。</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7.2.2规模:深水抗风浪养殖网箱建设规模为4口（</w:t>
      </w:r>
      <w:r>
        <w:rPr>
          <w:rFonts w:hint="eastAsia" w:asciiTheme="majorEastAsia" w:hAnsiTheme="majorEastAsia" w:eastAsiaTheme="majorEastAsia" w:cstheme="majorEastAsia"/>
          <w:b w:val="0"/>
          <w:bCs w:val="0"/>
          <w:color w:val="auto"/>
          <w:sz w:val="24"/>
          <w:szCs w:val="24"/>
          <w:highlight w:val="none"/>
          <w:lang w:val="en-US" w:eastAsia="zh-CN"/>
        </w:rPr>
        <w:t>90m≤</w:t>
      </w:r>
      <w:r>
        <w:rPr>
          <w:rFonts w:hint="eastAsia" w:asciiTheme="majorEastAsia" w:hAnsiTheme="majorEastAsia" w:eastAsiaTheme="majorEastAsia" w:cstheme="majorEastAsia"/>
          <w:b w:val="0"/>
          <w:bCs w:val="0"/>
          <w:color w:val="auto"/>
          <w:sz w:val="24"/>
          <w:szCs w:val="24"/>
          <w:highlight w:val="none"/>
          <w:lang w:eastAsia="zh-CN"/>
        </w:rPr>
        <w:t>周长＜</w:t>
      </w:r>
      <w:r>
        <w:rPr>
          <w:rFonts w:hint="eastAsia" w:asciiTheme="majorEastAsia" w:hAnsiTheme="majorEastAsia" w:eastAsiaTheme="majorEastAsia" w:cstheme="majorEastAsia"/>
          <w:b w:val="0"/>
          <w:bCs w:val="0"/>
          <w:color w:val="auto"/>
          <w:sz w:val="24"/>
          <w:szCs w:val="24"/>
          <w:highlight w:val="none"/>
          <w:lang w:val="en-US" w:eastAsia="zh-CN"/>
        </w:rPr>
        <w:t>120m</w:t>
      </w:r>
      <w:r>
        <w:rPr>
          <w:rFonts w:hint="eastAsia" w:asciiTheme="majorEastAsia" w:hAnsiTheme="majorEastAsia" w:eastAsiaTheme="majorEastAsia" w:cstheme="majorEastAsia"/>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7.2.3材料:深水抗风浪养殖网箱系统的框架结构、浮力管等均采用高密度聚乙烯(HDPE) 等非再生塑胶材料。</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7.2.4框架:深水抗风浪养殖网箱框架为圆形、方形或其它多边形。</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7.2.5设计标准：采用双浮管设计，浮管外径不小于355毫米，壁厚不小于22毫米；人行道安装单侧或双侧扶手(指人行道内外侧)，扶手高度不低于90厘米，扶手固定桩间距不大于1.8米，安装双管扶手、扶手管直径不小于90毫米；走道铺设塑胶脚板，宽度不小于80厘米，厚度不小于60毫米。提供网箱的详细的设计图纸，编制材料清单和承载力及浮力的计算稿。</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Theme="majorEastAsia" w:hAnsiTheme="majorEastAsia" w:eastAsiaTheme="majorEastAsia" w:cstheme="majorEastAsia"/>
          <w:b w:val="0"/>
          <w:bCs/>
          <w:color w:val="auto"/>
          <w:kern w:val="2"/>
          <w:sz w:val="24"/>
          <w:szCs w:val="24"/>
          <w:highlight w:val="none"/>
          <w:lang w:val="en-US" w:eastAsia="zh-CN" w:bidi="ar-SA"/>
        </w:rPr>
      </w:pPr>
      <w:r>
        <w:rPr>
          <w:rFonts w:hint="eastAsia" w:asciiTheme="majorEastAsia" w:hAnsiTheme="majorEastAsia" w:eastAsiaTheme="majorEastAsia" w:cstheme="majorEastAsia"/>
          <w:b w:val="0"/>
          <w:bCs/>
          <w:color w:val="auto"/>
          <w:kern w:val="2"/>
          <w:sz w:val="24"/>
          <w:szCs w:val="24"/>
          <w:highlight w:val="none"/>
          <w:lang w:val="en-US" w:eastAsia="zh-CN" w:bidi="ar-SA"/>
        </w:rPr>
        <w:t>7.3连接件用热镀锌垫片和螺栓</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b w:val="0"/>
          <w:bCs w:val="0"/>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每套连接件采用3块热镀锌垫片和 4组外六角螺栓、六角螺母、平垫、弹垫组成。热镀锌垫片材质为Q235B，热镀锌厚度不小于90um,方垫片尺寸不小于外280（内180）*50*4mm，长条垫片尺寸不小于280*50*4mm；外六角螺栓符合国标GB5782,</w:t>
      </w:r>
      <w:r>
        <w:rPr>
          <w:rFonts w:hint="eastAsia" w:asciiTheme="majorEastAsia" w:hAnsiTheme="majorEastAsia" w:eastAsiaTheme="majorEastAsia" w:cstheme="majorEastAsia"/>
          <w:b w:val="0"/>
          <w:bCs w:val="0"/>
          <w:color w:val="auto"/>
          <w:sz w:val="24"/>
          <w:szCs w:val="24"/>
          <w:highlight w:val="none"/>
          <w:lang w:val="en-US" w:eastAsia="zh-CN"/>
        </w:rPr>
        <w:t>规格为M16，级别不小于8.8级。材料必须为有资质标准件的厂家提供采购发票及流水验证。</w:t>
      </w:r>
    </w:p>
    <w:p>
      <w:pPr>
        <w:pStyle w:val="2"/>
        <w:keepNext w:val="0"/>
        <w:keepLines w:val="0"/>
        <w:pageBreakBefore w:val="0"/>
        <w:numPr>
          <w:ilvl w:val="0"/>
          <w:numId w:val="0"/>
        </w:numPr>
        <w:kinsoku/>
        <w:wordWrap/>
        <w:overflowPunct/>
        <w:topLinePunct w:val="0"/>
        <w:bidi w:val="0"/>
        <w:spacing w:before="0" w:beforeLines="0" w:after="0" w:afterLines="0" w:line="400" w:lineRule="exact"/>
        <w:ind w:firstLine="480" w:firstLineChars="200"/>
        <w:jc w:val="both"/>
        <w:textAlignment w:val="auto"/>
        <w:rPr>
          <w:rFonts w:hint="eastAsia" w:asciiTheme="majorEastAsia" w:hAnsiTheme="majorEastAsia" w:eastAsiaTheme="majorEastAsia" w:cstheme="majorEastAsia"/>
          <w:b w:val="0"/>
          <w:bCs w:val="0"/>
          <w:color w:val="auto"/>
          <w:kern w:val="2"/>
          <w:sz w:val="24"/>
          <w:szCs w:val="24"/>
          <w:highlight w:val="none"/>
          <w:lang w:val="en-US" w:eastAsia="zh-CN" w:bidi="ar-SA"/>
        </w:rPr>
      </w:pPr>
      <w:r>
        <w:rPr>
          <w:rFonts w:hint="eastAsia" w:asciiTheme="majorEastAsia" w:hAnsiTheme="majorEastAsia" w:eastAsiaTheme="majorEastAsia" w:cstheme="majorEastAsia"/>
          <w:b w:val="0"/>
          <w:bCs w:val="0"/>
          <w:color w:val="auto"/>
          <w:kern w:val="2"/>
          <w:sz w:val="24"/>
          <w:szCs w:val="24"/>
          <w:highlight w:val="none"/>
          <w:lang w:val="en-US" w:eastAsia="zh-CN" w:bidi="ar-SA"/>
        </w:rPr>
        <w:t>7.4塑胶渔排以及网箱检测标准：塑胶走道板主要参数检测标准应符合《GB/T 13663.2-2018》国家标准，拉伸强度≥20Mpa，氧化诱导时间≥20min，断裂伸长率≥350%，塑胶浮球检测参照《GB/T 13508-2011聚乙烯吹塑容器》的国家标准进行检测。网箱浮力管采用《GB/T 1040.2-2006塑料拉伸性能的检测》来检测，拉伸强度≥20Mpa，氧化诱导时间≥20min，断裂伸长率≥350%。</w:t>
      </w:r>
    </w:p>
    <w:p>
      <w:pPr>
        <w:numPr>
          <w:ilvl w:val="0"/>
          <w:numId w:val="0"/>
        </w:numPr>
        <w:ind w:left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7.5产品溯源</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default"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在主框架及浮球明显位置标注购买单位名称、出厂日期及使用期限，格式为购买单位名称+出厂日期+使用期限。</w:t>
      </w:r>
    </w:p>
    <w:p>
      <w:pPr>
        <w:numPr>
          <w:ilvl w:val="0"/>
          <w:numId w:val="0"/>
        </w:numPr>
        <w:spacing w:line="360" w:lineRule="auto"/>
        <w:ind w:left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7.6抗台风要求</w:t>
      </w:r>
    </w:p>
    <w:p>
      <w:pPr>
        <w:numPr>
          <w:ilvl w:val="0"/>
          <w:numId w:val="0"/>
        </w:numPr>
        <w:spacing w:line="360" w:lineRule="auto"/>
        <w:ind w:left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本项目的抗台风风力设计不小于12级。</w:t>
      </w:r>
    </w:p>
    <w:p>
      <w:pPr>
        <w:numPr>
          <w:ilvl w:val="0"/>
          <w:numId w:val="0"/>
        </w:numPr>
        <w:spacing w:line="360" w:lineRule="auto"/>
        <w:ind w:left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7.7提供项目建设过程中的航拍图及影像资料。</w:t>
      </w:r>
    </w:p>
    <w:p>
      <w:pPr>
        <w:pStyle w:val="3"/>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8.安装调试、技术服务、人员培训及技术资料</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rPr>
        <w:t>8.1由乙方负责派技术人员到现场进行安装、调试至验收合格。</w:t>
      </w:r>
      <w:r>
        <w:rPr>
          <w:rFonts w:hint="eastAsia" w:asciiTheme="majorEastAsia" w:hAnsiTheme="majorEastAsia" w:eastAsiaTheme="majorEastAsia" w:cstheme="majorEastAsia"/>
          <w:color w:val="auto"/>
          <w:sz w:val="24"/>
          <w:szCs w:val="24"/>
          <w:highlight w:val="none"/>
          <w:lang w:eastAsia="zh-CN"/>
        </w:rPr>
        <w:t>技术人员在安装调试过程中应在岗在位。</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8.2乙方应在合同签订之日起7日内，向甲方提供货物安装、调试及提交验收的进度计划表。</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8.3乙方负责免费为甲方培训操作及维修人员，包括：基本原理、操作使用和维修保养。</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8.4乙方应向甲方提供以下中文技术资料1套，其费用包括在报价价格中：</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  8.4.1 技术说明书</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  8.4.2 使用说明书</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  8.4.3 零部件目录</w:t>
      </w:r>
    </w:p>
    <w:p>
      <w:pPr>
        <w:pageBreakBefore w:val="0"/>
        <w:kinsoku/>
        <w:wordWrap/>
        <w:overflowPunct/>
        <w:topLinePunct w:val="0"/>
        <w:autoSpaceDE/>
        <w:autoSpaceDN/>
        <w:bidi w:val="0"/>
        <w:adjustRightInd/>
        <w:snapToGrid/>
        <w:spacing w:line="400" w:lineRule="exact"/>
        <w:ind w:firstLine="720" w:firstLineChars="3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8.4.4 备品备件、易损件清单</w:t>
      </w:r>
    </w:p>
    <w:p>
      <w:pPr>
        <w:pageBreakBefore w:val="0"/>
        <w:kinsoku/>
        <w:wordWrap/>
        <w:overflowPunct/>
        <w:topLinePunct w:val="0"/>
        <w:autoSpaceDE/>
        <w:autoSpaceDN/>
        <w:bidi w:val="0"/>
        <w:adjustRightInd/>
        <w:snapToGrid/>
        <w:spacing w:line="400" w:lineRule="exact"/>
        <w:ind w:firstLine="720" w:firstLineChars="3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8.4.5 安装、维修及操作手册等</w:t>
      </w:r>
    </w:p>
    <w:p>
      <w:pPr>
        <w:pageBreakBefore w:val="0"/>
        <w:kinsoku/>
        <w:wordWrap/>
        <w:overflowPunct/>
        <w:topLinePunct w:val="0"/>
        <w:autoSpaceDE/>
        <w:autoSpaceDN/>
        <w:bidi w:val="0"/>
        <w:adjustRightInd/>
        <w:snapToGrid/>
        <w:spacing w:line="400" w:lineRule="exact"/>
        <w:ind w:firstLine="720" w:firstLineChars="30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8.4.6 合同中要求的其他文件资料 </w:t>
      </w:r>
    </w:p>
    <w:p>
      <w:pPr>
        <w:pStyle w:val="3"/>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9.验收方法及标准</w:t>
      </w:r>
    </w:p>
    <w:tbl>
      <w:tblPr>
        <w:tblStyle w:val="21"/>
        <w:tblW w:w="5052" w:type="pct"/>
        <w:tblCellSpacing w:w="0"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085"/>
        <w:gridCol w:w="7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blCellSpacing w:w="0" w:type="dxa"/>
        </w:trPr>
        <w:tc>
          <w:tcPr>
            <w:tcW w:w="645" w:type="pct"/>
            <w:shd w:val="clear" w:color="auto" w:fill="auto"/>
            <w:vAlign w:val="center"/>
          </w:tcPr>
          <w:p>
            <w:pPr>
              <w:pageBreakBefore w:val="0"/>
              <w:widowControl/>
              <w:kinsoku/>
              <w:wordWrap/>
              <w:overflowPunct/>
              <w:topLinePunct w:val="0"/>
              <w:autoSpaceDE/>
              <w:autoSpaceDN/>
              <w:bidi w:val="0"/>
              <w:adjustRightInd/>
              <w:snapToGrid/>
              <w:spacing w:line="400" w:lineRule="exact"/>
              <w:ind w:left="0" w:leftChars="0" w:firstLine="0" w:firstLineChars="0"/>
              <w:jc w:val="both"/>
              <w:textAlignment w:val="auto"/>
              <w:rPr>
                <w:rFonts w:hint="eastAsia" w:asciiTheme="majorEastAsia" w:hAnsiTheme="majorEastAsia" w:eastAsiaTheme="majorEastAsia" w:cstheme="majorEastAsia"/>
                <w:b/>
                <w:bCs/>
                <w:color w:val="auto"/>
                <w:kern w:val="0"/>
                <w:sz w:val="24"/>
                <w:szCs w:val="24"/>
                <w:highlight w:val="none"/>
              </w:rPr>
            </w:pPr>
            <w:r>
              <w:rPr>
                <w:rFonts w:hint="eastAsia" w:asciiTheme="majorEastAsia" w:hAnsiTheme="majorEastAsia" w:eastAsiaTheme="majorEastAsia" w:cstheme="majorEastAsia"/>
                <w:b/>
                <w:bCs/>
                <w:color w:val="auto"/>
                <w:kern w:val="0"/>
                <w:sz w:val="24"/>
                <w:szCs w:val="24"/>
                <w:highlight w:val="none"/>
                <w:lang w:val="en-US" w:eastAsia="zh-CN"/>
              </w:rPr>
              <w:t>验收期次</w:t>
            </w:r>
          </w:p>
        </w:tc>
        <w:tc>
          <w:tcPr>
            <w:tcW w:w="4354" w:type="pct"/>
            <w:shd w:val="clear" w:color="auto" w:fill="auto"/>
            <w:vAlign w:val="center"/>
          </w:tcPr>
          <w:p>
            <w:pPr>
              <w:pageBreakBefore w:val="0"/>
              <w:widowControl/>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cstheme="majorEastAsia"/>
                <w:b/>
                <w:bCs/>
                <w:color w:val="auto"/>
                <w:kern w:val="0"/>
                <w:sz w:val="24"/>
                <w:szCs w:val="24"/>
                <w:highlight w:val="none"/>
              </w:rPr>
            </w:pPr>
            <w:r>
              <w:rPr>
                <w:rFonts w:hint="eastAsia" w:asciiTheme="majorEastAsia" w:hAnsiTheme="majorEastAsia" w:eastAsiaTheme="majorEastAsia" w:cstheme="majorEastAsia"/>
                <w:b/>
                <w:bCs/>
                <w:color w:val="auto"/>
                <w:kern w:val="0"/>
                <w:sz w:val="24"/>
                <w:szCs w:val="24"/>
                <w:highlight w:val="none"/>
                <w:lang w:val="en-US" w:eastAsia="zh-CN"/>
              </w:rPr>
              <w:t>验收期次说明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645" w:type="pct"/>
            <w:shd w:val="clear" w:color="auto" w:fill="auto"/>
            <w:vAlign w:val="center"/>
          </w:tcPr>
          <w:p>
            <w:pPr>
              <w:pageBreakBefore w:val="0"/>
              <w:kinsoku/>
              <w:wordWrap/>
              <w:overflowPunct/>
              <w:topLinePunct w:val="0"/>
              <w:autoSpaceDE/>
              <w:autoSpaceDN/>
              <w:bidi w:val="0"/>
              <w:adjustRightInd/>
              <w:snapToGrid/>
              <w:spacing w:line="400" w:lineRule="exact"/>
              <w:ind w:left="0" w:leftChars="0" w:firstLine="0" w:firstLineChars="0"/>
              <w:jc w:val="center"/>
              <w:textAlignment w:val="auto"/>
              <w:rPr>
                <w:rStyle w:val="25"/>
                <w:rFonts w:hint="eastAsia" w:asciiTheme="majorEastAsia" w:hAnsiTheme="majorEastAsia" w:eastAsiaTheme="majorEastAsia" w:cstheme="majorEastAsia"/>
                <w:b w:val="0"/>
                <w:bCs/>
                <w:color w:val="auto"/>
                <w:sz w:val="24"/>
                <w:szCs w:val="24"/>
                <w:highlight w:val="none"/>
                <w:lang w:val="en-US" w:eastAsia="zh-CN"/>
              </w:rPr>
            </w:pPr>
            <w:r>
              <w:rPr>
                <w:rStyle w:val="25"/>
                <w:rFonts w:hint="eastAsia" w:asciiTheme="majorEastAsia" w:hAnsiTheme="majorEastAsia" w:eastAsiaTheme="majorEastAsia" w:cstheme="majorEastAsia"/>
                <w:b/>
                <w:bCs w:val="0"/>
                <w:color w:val="auto"/>
                <w:sz w:val="24"/>
                <w:szCs w:val="24"/>
                <w:highlight w:val="none"/>
                <w:lang w:val="en-US" w:eastAsia="zh-CN"/>
              </w:rPr>
              <w:t>1</w:t>
            </w:r>
          </w:p>
        </w:tc>
        <w:tc>
          <w:tcPr>
            <w:tcW w:w="4354" w:type="pct"/>
            <w:shd w:val="clear" w:color="auto" w:fill="auto"/>
            <w:vAlign w:val="center"/>
          </w:tcPr>
          <w:p>
            <w:pPr>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eastAsia="宋体"/>
                <w:color w:val="auto"/>
                <w:sz w:val="24"/>
                <w:szCs w:val="24"/>
                <w:highlight w:val="none"/>
                <w:lang w:val="en-US" w:eastAsia="zh-CN"/>
              </w:rPr>
            </w:pPr>
            <w:r>
              <w:rPr>
                <w:rStyle w:val="25"/>
                <w:rFonts w:hint="eastAsia" w:asciiTheme="majorEastAsia" w:hAnsiTheme="majorEastAsia" w:eastAsiaTheme="majorEastAsia" w:cstheme="majorEastAsia"/>
                <w:b w:val="0"/>
                <w:bCs/>
                <w:color w:val="auto"/>
                <w:sz w:val="24"/>
                <w:szCs w:val="24"/>
                <w:highlight w:val="none"/>
                <w:lang w:val="en-US" w:eastAsia="zh-CN"/>
              </w:rPr>
              <w:t>1、</w:t>
            </w:r>
            <w:r>
              <w:rPr>
                <w:rStyle w:val="25"/>
                <w:rFonts w:hint="eastAsia" w:asciiTheme="majorEastAsia" w:hAnsiTheme="majorEastAsia" w:eastAsiaTheme="majorEastAsia" w:cstheme="majorEastAsia"/>
                <w:b w:val="0"/>
                <w:bCs/>
                <w:color w:val="auto"/>
                <w:sz w:val="24"/>
                <w:szCs w:val="24"/>
                <w:highlight w:val="none"/>
              </w:rPr>
              <w:t>验收标准：必须符合</w:t>
            </w:r>
            <w:r>
              <w:rPr>
                <w:rStyle w:val="25"/>
                <w:rFonts w:hint="eastAsia" w:asciiTheme="majorEastAsia" w:hAnsiTheme="majorEastAsia" w:eastAsiaTheme="majorEastAsia" w:cstheme="majorEastAsia"/>
                <w:b w:val="0"/>
                <w:bCs/>
                <w:color w:val="auto"/>
                <w:kern w:val="2"/>
                <w:sz w:val="24"/>
                <w:szCs w:val="24"/>
                <w:highlight w:val="none"/>
                <w:lang w:val="en-US" w:eastAsia="zh-CN" w:bidi="ar-SA"/>
              </w:rPr>
              <w:t>《莆田市海洋与渔业局关于印发《莆田海上养殖设施建设技术要求（试行）》的通知》（莆海渔〔2021〕78号）以及《福建省海洋与渔业局关于印发《福建省设施渔业项目建设技术要求（2018）》的通知》（闽海渔〔2018〕214号）</w:t>
            </w:r>
            <w:r>
              <w:rPr>
                <w:rStyle w:val="25"/>
                <w:rFonts w:hint="eastAsia" w:asciiTheme="majorEastAsia" w:hAnsiTheme="majorEastAsia" w:eastAsiaTheme="majorEastAsia" w:cstheme="majorEastAsia"/>
                <w:b w:val="0"/>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645" w:type="pct"/>
            <w:shd w:val="clear" w:color="auto" w:fill="auto"/>
            <w:vAlign w:val="center"/>
          </w:tcPr>
          <w:p>
            <w:pPr>
              <w:pageBreakBefore w:val="0"/>
              <w:kinsoku/>
              <w:wordWrap/>
              <w:overflowPunct/>
              <w:topLinePunct w:val="0"/>
              <w:autoSpaceDE/>
              <w:autoSpaceDN/>
              <w:bidi w:val="0"/>
              <w:adjustRightInd/>
              <w:snapToGrid/>
              <w:spacing w:line="400" w:lineRule="exact"/>
              <w:ind w:left="0" w:leftChars="0" w:firstLine="0" w:firstLineChars="0"/>
              <w:jc w:val="center"/>
              <w:textAlignment w:val="auto"/>
              <w:rPr>
                <w:rStyle w:val="25"/>
                <w:rFonts w:hint="default" w:asciiTheme="majorEastAsia" w:hAnsiTheme="majorEastAsia" w:eastAsiaTheme="majorEastAsia" w:cstheme="majorEastAsia"/>
                <w:b/>
                <w:bCs w:val="0"/>
                <w:color w:val="auto"/>
                <w:sz w:val="24"/>
                <w:szCs w:val="24"/>
                <w:highlight w:val="none"/>
                <w:lang w:val="en-US" w:eastAsia="zh-CN"/>
              </w:rPr>
            </w:pPr>
            <w:r>
              <w:rPr>
                <w:rStyle w:val="25"/>
                <w:rFonts w:hint="eastAsia" w:asciiTheme="majorEastAsia" w:hAnsiTheme="majorEastAsia" w:eastAsiaTheme="majorEastAsia" w:cstheme="majorEastAsia"/>
                <w:b/>
                <w:bCs w:val="0"/>
                <w:color w:val="auto"/>
                <w:sz w:val="24"/>
                <w:szCs w:val="24"/>
                <w:highlight w:val="none"/>
                <w:lang w:val="en-US" w:eastAsia="zh-CN"/>
              </w:rPr>
              <w:t>2</w:t>
            </w:r>
          </w:p>
        </w:tc>
        <w:tc>
          <w:tcPr>
            <w:tcW w:w="4354" w:type="pct"/>
            <w:shd w:val="clear" w:color="auto" w:fill="auto"/>
            <w:vAlign w:val="center"/>
          </w:tcPr>
          <w:p>
            <w:pPr>
              <w:pageBreakBefore w:val="0"/>
              <w:kinsoku/>
              <w:wordWrap/>
              <w:overflowPunct/>
              <w:topLinePunct w:val="0"/>
              <w:autoSpaceDE/>
              <w:autoSpaceDN/>
              <w:bidi w:val="0"/>
              <w:adjustRightInd/>
              <w:snapToGrid/>
              <w:spacing w:line="400" w:lineRule="exact"/>
              <w:ind w:left="0" w:leftChars="0" w:firstLine="0" w:firstLineChars="0"/>
              <w:textAlignment w:val="auto"/>
              <w:rPr>
                <w:rStyle w:val="25"/>
                <w:rFonts w:hint="eastAsia" w:asciiTheme="majorEastAsia" w:hAnsiTheme="majorEastAsia" w:eastAsiaTheme="majorEastAsia" w:cstheme="majorEastAsia"/>
                <w:b w:val="0"/>
                <w:bCs/>
                <w:color w:val="auto"/>
                <w:sz w:val="24"/>
                <w:szCs w:val="24"/>
                <w:highlight w:val="none"/>
                <w:lang w:eastAsia="zh-CN"/>
              </w:rPr>
            </w:pPr>
            <w:r>
              <w:rPr>
                <w:rStyle w:val="25"/>
                <w:rFonts w:hint="eastAsia" w:asciiTheme="majorEastAsia" w:hAnsiTheme="majorEastAsia" w:eastAsiaTheme="majorEastAsia" w:cstheme="majorEastAsia"/>
                <w:b w:val="0"/>
                <w:bCs/>
                <w:color w:val="auto"/>
                <w:sz w:val="24"/>
                <w:szCs w:val="24"/>
                <w:highlight w:val="none"/>
                <w:lang w:val="en-US" w:eastAsia="zh-CN"/>
              </w:rPr>
              <w:t>2、</w:t>
            </w:r>
            <w:r>
              <w:rPr>
                <w:rStyle w:val="25"/>
                <w:rFonts w:hint="eastAsia" w:asciiTheme="majorEastAsia" w:hAnsiTheme="majorEastAsia" w:eastAsiaTheme="majorEastAsia" w:cstheme="majorEastAsia"/>
                <w:b w:val="0"/>
                <w:bCs/>
                <w:color w:val="auto"/>
                <w:sz w:val="24"/>
                <w:szCs w:val="24"/>
                <w:highlight w:val="none"/>
              </w:rPr>
              <w:t>出厂检验</w:t>
            </w:r>
            <w:r>
              <w:rPr>
                <w:rStyle w:val="25"/>
                <w:rFonts w:hint="eastAsia" w:asciiTheme="majorEastAsia" w:hAnsiTheme="majorEastAsia" w:eastAsiaTheme="majorEastAsia" w:cstheme="majorEastAsia"/>
                <w:b w:val="0"/>
                <w:bCs/>
                <w:color w:val="auto"/>
                <w:sz w:val="24"/>
                <w:szCs w:val="24"/>
                <w:highlight w:val="none"/>
                <w:lang w:eastAsia="zh-CN"/>
              </w:rPr>
              <w:t>：</w:t>
            </w:r>
          </w:p>
          <w:p>
            <w:pPr>
              <w:pageBreakBefore w:val="0"/>
              <w:kinsoku/>
              <w:wordWrap/>
              <w:overflowPunct/>
              <w:topLinePunct w:val="0"/>
              <w:autoSpaceDE/>
              <w:autoSpaceDN/>
              <w:bidi w:val="0"/>
              <w:adjustRightInd/>
              <w:snapToGrid/>
              <w:spacing w:line="400" w:lineRule="exact"/>
              <w:ind w:left="0" w:leftChars="0" w:firstLine="0" w:firstLineChars="0"/>
              <w:textAlignment w:val="auto"/>
              <w:rPr>
                <w:rStyle w:val="25"/>
                <w:rFonts w:hint="eastAsia" w:asciiTheme="majorEastAsia" w:hAnsiTheme="majorEastAsia" w:eastAsiaTheme="majorEastAsia" w:cstheme="majorEastAsia"/>
                <w:b w:val="0"/>
                <w:bCs/>
                <w:color w:val="auto"/>
                <w:sz w:val="24"/>
                <w:szCs w:val="24"/>
                <w:highlight w:val="none"/>
              </w:rPr>
            </w:pPr>
            <w:r>
              <w:rPr>
                <w:rStyle w:val="25"/>
                <w:rFonts w:hint="eastAsia" w:asciiTheme="majorEastAsia" w:hAnsiTheme="majorEastAsia" w:eastAsiaTheme="majorEastAsia" w:cstheme="majorEastAsia"/>
                <w:b w:val="0"/>
                <w:bCs/>
                <w:color w:val="auto"/>
                <w:sz w:val="24"/>
                <w:szCs w:val="24"/>
                <w:highlight w:val="none"/>
                <w:lang w:val="en-US" w:eastAsia="zh-CN"/>
              </w:rPr>
              <w:t>2.1</w:t>
            </w:r>
            <w:r>
              <w:rPr>
                <w:rStyle w:val="25"/>
                <w:rFonts w:hint="eastAsia" w:asciiTheme="majorEastAsia" w:hAnsiTheme="majorEastAsia" w:eastAsiaTheme="majorEastAsia" w:cstheme="majorEastAsia"/>
                <w:b w:val="0"/>
                <w:bCs/>
                <w:color w:val="auto"/>
                <w:sz w:val="24"/>
                <w:szCs w:val="24"/>
                <w:highlight w:val="none"/>
              </w:rPr>
              <w:t>中标人所提供所有渔排构件需符合</w:t>
            </w:r>
            <w:r>
              <w:rPr>
                <w:rStyle w:val="25"/>
                <w:rFonts w:hint="eastAsia" w:asciiTheme="majorEastAsia" w:hAnsiTheme="majorEastAsia" w:eastAsiaTheme="majorEastAsia" w:cstheme="majorEastAsia"/>
                <w:b w:val="0"/>
                <w:bCs/>
                <w:color w:val="auto"/>
                <w:kern w:val="2"/>
                <w:sz w:val="24"/>
                <w:szCs w:val="24"/>
                <w:highlight w:val="none"/>
                <w:lang w:val="en-US" w:eastAsia="zh-CN" w:bidi="ar-SA"/>
              </w:rPr>
              <w:t>《莆田市海洋与渔业局关于印发《莆田海上养殖设施建设技术要求（试行）》的通知》（莆海渔〔2021〕78号）以及</w:t>
            </w:r>
            <w:r>
              <w:rPr>
                <w:rStyle w:val="25"/>
                <w:rFonts w:hint="eastAsia" w:asciiTheme="majorEastAsia" w:hAnsiTheme="majorEastAsia" w:eastAsiaTheme="majorEastAsia" w:cstheme="majorEastAsia"/>
                <w:b w:val="0"/>
                <w:bCs/>
                <w:color w:val="auto"/>
                <w:sz w:val="24"/>
                <w:szCs w:val="24"/>
                <w:highlight w:val="none"/>
              </w:rPr>
              <w:t>《福建省海洋与渔业局关于印发《福建省设施渔业项目建设技术要求（2018）》的通知》〔2018〕214号</w:t>
            </w:r>
            <w:r>
              <w:rPr>
                <w:rStyle w:val="25"/>
                <w:rFonts w:hint="eastAsia" w:asciiTheme="majorEastAsia" w:hAnsiTheme="majorEastAsia" w:eastAsiaTheme="majorEastAsia" w:cstheme="majorEastAsia"/>
                <w:b w:val="0"/>
                <w:bCs/>
                <w:color w:val="auto"/>
                <w:sz w:val="24"/>
                <w:szCs w:val="24"/>
                <w:highlight w:val="none"/>
                <w:lang w:eastAsia="zh-CN"/>
              </w:rPr>
              <w:t>文件</w:t>
            </w:r>
            <w:r>
              <w:rPr>
                <w:rStyle w:val="25"/>
                <w:rFonts w:hint="eastAsia" w:asciiTheme="majorEastAsia" w:hAnsiTheme="majorEastAsia" w:eastAsiaTheme="majorEastAsia" w:cstheme="majorEastAsia"/>
                <w:b w:val="0"/>
                <w:bCs/>
                <w:color w:val="auto"/>
                <w:sz w:val="24"/>
                <w:szCs w:val="24"/>
                <w:highlight w:val="none"/>
              </w:rPr>
              <w:t>，中标人须提供所有渔排构件的产品合格证明和技术监督部门的质量检测合格报告。</w:t>
            </w:r>
          </w:p>
          <w:p>
            <w:pPr>
              <w:pageBreakBefore w:val="0"/>
              <w:kinsoku/>
              <w:wordWrap/>
              <w:overflowPunct/>
              <w:topLinePunct w:val="0"/>
              <w:autoSpaceDE/>
              <w:autoSpaceDN/>
              <w:bidi w:val="0"/>
              <w:adjustRightInd/>
              <w:snapToGrid/>
              <w:spacing w:line="400" w:lineRule="exact"/>
              <w:ind w:left="0" w:leftChars="0" w:firstLine="0" w:firstLineChars="0"/>
              <w:textAlignment w:val="auto"/>
              <w:rPr>
                <w:rStyle w:val="25"/>
                <w:rFonts w:hint="eastAsia" w:asciiTheme="majorEastAsia" w:hAnsiTheme="majorEastAsia" w:eastAsiaTheme="majorEastAsia" w:cstheme="majorEastAsia"/>
                <w:b w:val="0"/>
                <w:bCs/>
                <w:color w:val="auto"/>
                <w:sz w:val="24"/>
                <w:szCs w:val="24"/>
                <w:highlight w:val="none"/>
              </w:rPr>
            </w:pPr>
            <w:r>
              <w:rPr>
                <w:rStyle w:val="25"/>
                <w:rFonts w:hint="eastAsia" w:asciiTheme="majorEastAsia" w:hAnsiTheme="majorEastAsia" w:eastAsiaTheme="majorEastAsia" w:cstheme="majorEastAsia"/>
                <w:b w:val="0"/>
                <w:bCs/>
                <w:color w:val="auto"/>
                <w:sz w:val="24"/>
                <w:szCs w:val="24"/>
                <w:highlight w:val="none"/>
                <w:lang w:val="en-US" w:eastAsia="zh-CN"/>
              </w:rPr>
              <w:t>2.2</w:t>
            </w:r>
            <w:r>
              <w:rPr>
                <w:rStyle w:val="25"/>
                <w:rFonts w:hint="eastAsia" w:asciiTheme="majorEastAsia" w:hAnsiTheme="majorEastAsia" w:eastAsiaTheme="majorEastAsia" w:cstheme="majorEastAsia"/>
                <w:b w:val="0"/>
                <w:bCs/>
                <w:color w:val="auto"/>
                <w:sz w:val="24"/>
                <w:szCs w:val="24"/>
                <w:highlight w:val="none"/>
              </w:rPr>
              <w:t>中标人须提供塑胶渔排专用构件和零部件的原材料牌号、级别证明。</w:t>
            </w:r>
          </w:p>
          <w:p>
            <w:pPr>
              <w:pageBreakBefore w:val="0"/>
              <w:kinsoku/>
              <w:wordWrap/>
              <w:overflowPunct/>
              <w:topLinePunct w:val="0"/>
              <w:autoSpaceDE/>
              <w:autoSpaceDN/>
              <w:bidi w:val="0"/>
              <w:adjustRightInd/>
              <w:snapToGrid/>
              <w:spacing w:line="400" w:lineRule="exact"/>
              <w:ind w:left="0" w:leftChars="0" w:firstLine="0" w:firstLineChars="0"/>
              <w:textAlignment w:val="auto"/>
              <w:rPr>
                <w:rStyle w:val="25"/>
                <w:rFonts w:hint="eastAsia" w:asciiTheme="majorEastAsia" w:hAnsiTheme="majorEastAsia" w:eastAsiaTheme="majorEastAsia" w:cstheme="majorEastAsia"/>
                <w:b w:val="0"/>
                <w:bCs/>
                <w:color w:val="auto"/>
                <w:sz w:val="24"/>
                <w:szCs w:val="24"/>
                <w:highlight w:val="none"/>
                <w:lang w:val="en-US" w:eastAsia="zh-CN"/>
              </w:rPr>
            </w:pPr>
            <w:r>
              <w:rPr>
                <w:rStyle w:val="25"/>
                <w:rFonts w:hint="eastAsia" w:asciiTheme="majorEastAsia" w:hAnsiTheme="majorEastAsia" w:eastAsiaTheme="majorEastAsia" w:cstheme="majorEastAsia"/>
                <w:b w:val="0"/>
                <w:bCs/>
                <w:color w:val="auto"/>
                <w:sz w:val="24"/>
                <w:szCs w:val="24"/>
                <w:highlight w:val="none"/>
                <w:lang w:val="en-US" w:eastAsia="zh-CN"/>
              </w:rPr>
              <w:t>2.3</w:t>
            </w:r>
            <w:r>
              <w:rPr>
                <w:rStyle w:val="25"/>
                <w:rFonts w:hint="eastAsia" w:asciiTheme="majorEastAsia" w:hAnsiTheme="majorEastAsia" w:eastAsiaTheme="majorEastAsia" w:cstheme="majorEastAsia"/>
                <w:b w:val="0"/>
                <w:bCs/>
                <w:color w:val="auto"/>
                <w:sz w:val="24"/>
                <w:szCs w:val="24"/>
                <w:highlight w:val="none"/>
              </w:rPr>
              <w:t>中标人所提供的渔用纤维绳索，每卷应附有产品合格证明作为标签，合格证明上应标明产品的原料供应商、材质、直径、生产企业名称、执行标准编号等。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645" w:type="pct"/>
            <w:shd w:val="clear" w:color="auto" w:fill="auto"/>
            <w:vAlign w:val="center"/>
          </w:tcPr>
          <w:p>
            <w:pPr>
              <w:pageBreakBefore w:val="0"/>
              <w:kinsoku/>
              <w:wordWrap/>
              <w:overflowPunct/>
              <w:topLinePunct w:val="0"/>
              <w:autoSpaceDE/>
              <w:autoSpaceDN/>
              <w:bidi w:val="0"/>
              <w:adjustRightInd/>
              <w:snapToGrid/>
              <w:spacing w:line="400" w:lineRule="exact"/>
              <w:ind w:left="0" w:leftChars="0" w:firstLine="0" w:firstLineChars="0"/>
              <w:jc w:val="center"/>
              <w:textAlignment w:val="auto"/>
              <w:rPr>
                <w:rStyle w:val="25"/>
                <w:rFonts w:hint="default" w:asciiTheme="majorEastAsia" w:hAnsiTheme="majorEastAsia" w:eastAsiaTheme="majorEastAsia" w:cstheme="majorEastAsia"/>
                <w:b/>
                <w:bCs w:val="0"/>
                <w:color w:val="auto"/>
                <w:sz w:val="24"/>
                <w:szCs w:val="24"/>
                <w:highlight w:val="none"/>
                <w:lang w:val="en-US" w:eastAsia="zh-CN"/>
              </w:rPr>
            </w:pPr>
            <w:r>
              <w:rPr>
                <w:rStyle w:val="25"/>
                <w:rFonts w:hint="eastAsia" w:asciiTheme="majorEastAsia" w:hAnsiTheme="majorEastAsia" w:eastAsiaTheme="majorEastAsia" w:cstheme="majorEastAsia"/>
                <w:b/>
                <w:bCs w:val="0"/>
                <w:color w:val="auto"/>
                <w:sz w:val="24"/>
                <w:szCs w:val="24"/>
                <w:highlight w:val="none"/>
                <w:lang w:val="en-US" w:eastAsia="zh-CN"/>
              </w:rPr>
              <w:t>3</w:t>
            </w:r>
          </w:p>
        </w:tc>
        <w:tc>
          <w:tcPr>
            <w:tcW w:w="4354" w:type="pct"/>
            <w:shd w:val="clear" w:color="auto" w:fill="auto"/>
            <w:vAlign w:val="center"/>
          </w:tcPr>
          <w:p>
            <w:pPr>
              <w:pageBreakBefore w:val="0"/>
              <w:kinsoku/>
              <w:wordWrap/>
              <w:overflowPunct/>
              <w:topLinePunct w:val="0"/>
              <w:autoSpaceDE/>
              <w:autoSpaceDN/>
              <w:bidi w:val="0"/>
              <w:adjustRightInd/>
              <w:snapToGrid/>
              <w:spacing w:line="400" w:lineRule="exact"/>
              <w:ind w:left="0" w:leftChars="0" w:firstLine="0" w:firstLineChars="0"/>
              <w:textAlignment w:val="auto"/>
              <w:rPr>
                <w:rStyle w:val="25"/>
                <w:rFonts w:hint="eastAsia" w:asciiTheme="majorEastAsia" w:hAnsiTheme="majorEastAsia" w:eastAsiaTheme="majorEastAsia" w:cstheme="majorEastAsia"/>
                <w:b w:val="0"/>
                <w:bCs/>
                <w:color w:val="auto"/>
                <w:sz w:val="24"/>
                <w:szCs w:val="24"/>
                <w:highlight w:val="none"/>
                <w:lang w:val="en-US" w:eastAsia="zh-CN"/>
              </w:rPr>
            </w:pPr>
            <w:r>
              <w:rPr>
                <w:rStyle w:val="25"/>
                <w:rFonts w:hint="eastAsia" w:asciiTheme="majorEastAsia" w:hAnsiTheme="majorEastAsia" w:eastAsiaTheme="majorEastAsia" w:cstheme="majorEastAsia"/>
                <w:b w:val="0"/>
                <w:bCs/>
                <w:color w:val="auto"/>
                <w:sz w:val="24"/>
                <w:szCs w:val="24"/>
                <w:highlight w:val="none"/>
                <w:lang w:val="en-US" w:eastAsia="zh-CN"/>
              </w:rPr>
              <w:t>3、</w:t>
            </w:r>
            <w:r>
              <w:rPr>
                <w:rStyle w:val="25"/>
                <w:rFonts w:hint="eastAsia" w:asciiTheme="majorEastAsia" w:hAnsiTheme="majorEastAsia" w:eastAsiaTheme="majorEastAsia" w:cstheme="majorEastAsia"/>
                <w:b w:val="0"/>
                <w:bCs/>
                <w:color w:val="auto"/>
                <w:sz w:val="24"/>
                <w:szCs w:val="24"/>
                <w:highlight w:val="none"/>
              </w:rPr>
              <w:t>安装调试检验</w:t>
            </w:r>
            <w:r>
              <w:rPr>
                <w:rStyle w:val="25"/>
                <w:rFonts w:hint="eastAsia" w:asciiTheme="majorEastAsia" w:hAnsiTheme="majorEastAsia" w:eastAsiaTheme="majorEastAsia" w:cstheme="majorEastAsia"/>
                <w:b w:val="0"/>
                <w:bCs/>
                <w:color w:val="auto"/>
                <w:sz w:val="24"/>
                <w:szCs w:val="24"/>
                <w:highlight w:val="none"/>
                <w:lang w:eastAsia="zh-CN"/>
              </w:rPr>
              <w:t>：</w:t>
            </w:r>
            <w:r>
              <w:rPr>
                <w:rStyle w:val="25"/>
                <w:rFonts w:hint="eastAsia" w:asciiTheme="majorEastAsia" w:hAnsiTheme="majorEastAsia" w:eastAsiaTheme="majorEastAsia" w:cstheme="majorEastAsia"/>
                <w:b w:val="0"/>
                <w:bCs/>
                <w:color w:val="auto"/>
                <w:sz w:val="24"/>
                <w:szCs w:val="24"/>
                <w:highlight w:val="none"/>
              </w:rPr>
              <w:t>设备安装、调试过程，中标人应作详细检验记录。安装调试检验结果应符合制造厂产品标准和招标文件的规定。检验记录应真实并提供给招标人。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645" w:type="pct"/>
            <w:shd w:val="clear" w:color="auto" w:fill="auto"/>
            <w:vAlign w:val="center"/>
          </w:tcPr>
          <w:p>
            <w:pPr>
              <w:pageBreakBefore w:val="0"/>
              <w:kinsoku/>
              <w:wordWrap/>
              <w:overflowPunct/>
              <w:topLinePunct w:val="0"/>
              <w:autoSpaceDE/>
              <w:autoSpaceDN/>
              <w:bidi w:val="0"/>
              <w:adjustRightInd/>
              <w:snapToGrid/>
              <w:spacing w:line="400" w:lineRule="exact"/>
              <w:ind w:left="0" w:leftChars="0" w:firstLine="0" w:firstLineChars="0"/>
              <w:jc w:val="center"/>
              <w:textAlignment w:val="auto"/>
              <w:rPr>
                <w:rStyle w:val="25"/>
                <w:rFonts w:hint="default" w:asciiTheme="majorEastAsia" w:hAnsiTheme="majorEastAsia" w:eastAsiaTheme="majorEastAsia" w:cstheme="majorEastAsia"/>
                <w:b/>
                <w:bCs w:val="0"/>
                <w:color w:val="auto"/>
                <w:sz w:val="24"/>
                <w:szCs w:val="24"/>
                <w:highlight w:val="none"/>
                <w:lang w:val="en-US" w:eastAsia="zh-CN"/>
              </w:rPr>
            </w:pPr>
            <w:r>
              <w:rPr>
                <w:rStyle w:val="25"/>
                <w:rFonts w:hint="eastAsia" w:asciiTheme="majorEastAsia" w:hAnsiTheme="majorEastAsia" w:eastAsiaTheme="majorEastAsia" w:cstheme="majorEastAsia"/>
                <w:b/>
                <w:bCs w:val="0"/>
                <w:color w:val="auto"/>
                <w:sz w:val="24"/>
                <w:szCs w:val="24"/>
                <w:highlight w:val="none"/>
                <w:lang w:val="en-US" w:eastAsia="zh-CN"/>
              </w:rPr>
              <w:t>4</w:t>
            </w:r>
          </w:p>
        </w:tc>
        <w:tc>
          <w:tcPr>
            <w:tcW w:w="4354" w:type="pct"/>
            <w:shd w:val="clear" w:color="auto" w:fill="auto"/>
            <w:vAlign w:val="center"/>
          </w:tcPr>
          <w:p>
            <w:pPr>
              <w:pageBreakBefore w:val="0"/>
              <w:kinsoku/>
              <w:wordWrap/>
              <w:overflowPunct/>
              <w:topLinePunct w:val="0"/>
              <w:autoSpaceDE/>
              <w:autoSpaceDN/>
              <w:bidi w:val="0"/>
              <w:adjustRightInd/>
              <w:snapToGrid/>
              <w:spacing w:line="400" w:lineRule="exact"/>
              <w:ind w:left="0" w:leftChars="0" w:firstLine="0" w:firstLineChars="0"/>
              <w:textAlignment w:val="auto"/>
              <w:rPr>
                <w:rStyle w:val="25"/>
                <w:rFonts w:hint="eastAsia" w:asciiTheme="majorEastAsia" w:hAnsiTheme="majorEastAsia" w:eastAsiaTheme="majorEastAsia" w:cstheme="majorEastAsia"/>
                <w:b w:val="0"/>
                <w:bCs/>
                <w:color w:val="auto"/>
                <w:sz w:val="24"/>
                <w:szCs w:val="24"/>
                <w:highlight w:val="none"/>
              </w:rPr>
            </w:pPr>
            <w:r>
              <w:rPr>
                <w:rStyle w:val="25"/>
                <w:rFonts w:hint="eastAsia" w:asciiTheme="majorEastAsia" w:hAnsiTheme="majorEastAsia" w:eastAsiaTheme="majorEastAsia" w:cstheme="majorEastAsia"/>
                <w:b w:val="0"/>
                <w:bCs/>
                <w:color w:val="auto"/>
                <w:sz w:val="24"/>
                <w:szCs w:val="24"/>
                <w:highlight w:val="none"/>
                <w:lang w:val="en-US" w:eastAsia="zh-CN"/>
              </w:rPr>
              <w:t>4、</w:t>
            </w:r>
            <w:r>
              <w:rPr>
                <w:rStyle w:val="25"/>
                <w:rFonts w:hint="eastAsia" w:asciiTheme="majorEastAsia" w:hAnsiTheme="majorEastAsia" w:eastAsiaTheme="majorEastAsia" w:cstheme="majorEastAsia"/>
                <w:b w:val="0"/>
                <w:bCs/>
                <w:color w:val="auto"/>
                <w:sz w:val="24"/>
                <w:szCs w:val="24"/>
                <w:highlight w:val="none"/>
              </w:rPr>
              <w:t>最终验收</w:t>
            </w:r>
          </w:p>
          <w:p>
            <w:pPr>
              <w:pageBreakBefore w:val="0"/>
              <w:kinsoku/>
              <w:wordWrap/>
              <w:overflowPunct/>
              <w:topLinePunct w:val="0"/>
              <w:autoSpaceDE/>
              <w:autoSpaceDN/>
              <w:bidi w:val="0"/>
              <w:adjustRightInd/>
              <w:snapToGrid/>
              <w:spacing w:line="400" w:lineRule="exact"/>
              <w:ind w:left="0" w:leftChars="0" w:firstLine="0" w:firstLineChars="0"/>
              <w:textAlignment w:val="auto"/>
              <w:rPr>
                <w:rStyle w:val="25"/>
                <w:rFonts w:hint="eastAsia" w:asciiTheme="majorEastAsia" w:hAnsiTheme="majorEastAsia" w:eastAsiaTheme="majorEastAsia" w:cstheme="majorEastAsia"/>
                <w:b w:val="0"/>
                <w:bCs/>
                <w:color w:val="auto"/>
                <w:sz w:val="24"/>
                <w:szCs w:val="24"/>
                <w:highlight w:val="none"/>
              </w:rPr>
            </w:pPr>
            <w:r>
              <w:rPr>
                <w:rStyle w:val="25"/>
                <w:rFonts w:hint="eastAsia" w:asciiTheme="majorEastAsia" w:hAnsiTheme="majorEastAsia" w:eastAsiaTheme="majorEastAsia" w:cstheme="majorEastAsia"/>
                <w:b w:val="0"/>
                <w:bCs/>
                <w:color w:val="auto"/>
                <w:sz w:val="24"/>
                <w:szCs w:val="24"/>
                <w:highlight w:val="none"/>
                <w:lang w:val="en-US" w:eastAsia="zh-CN"/>
              </w:rPr>
              <w:t>4.1</w:t>
            </w:r>
            <w:r>
              <w:rPr>
                <w:rStyle w:val="25"/>
                <w:rFonts w:hint="eastAsia" w:asciiTheme="majorEastAsia" w:hAnsiTheme="majorEastAsia" w:eastAsiaTheme="majorEastAsia" w:cstheme="majorEastAsia"/>
                <w:b w:val="0"/>
                <w:bCs/>
                <w:color w:val="auto"/>
                <w:sz w:val="24"/>
                <w:szCs w:val="24"/>
                <w:highlight w:val="none"/>
              </w:rPr>
              <w:t>设备安装、调试结束后，由中标人负责并会同招标人按相关规定的标准要求进行联合</w:t>
            </w:r>
            <w:r>
              <w:rPr>
                <w:rStyle w:val="25"/>
                <w:rFonts w:hint="eastAsia" w:asciiTheme="majorEastAsia" w:hAnsiTheme="majorEastAsia" w:eastAsiaTheme="majorEastAsia" w:cstheme="majorEastAsia"/>
                <w:b w:val="0"/>
                <w:bCs/>
                <w:color w:val="auto"/>
                <w:sz w:val="24"/>
                <w:szCs w:val="24"/>
                <w:highlight w:val="none"/>
                <w:lang w:eastAsia="zh-CN"/>
              </w:rPr>
              <w:t>初步</w:t>
            </w:r>
            <w:r>
              <w:rPr>
                <w:rStyle w:val="25"/>
                <w:rFonts w:hint="eastAsia" w:asciiTheme="majorEastAsia" w:hAnsiTheme="majorEastAsia" w:eastAsiaTheme="majorEastAsia" w:cstheme="majorEastAsia"/>
                <w:b w:val="0"/>
                <w:bCs/>
                <w:color w:val="auto"/>
                <w:sz w:val="24"/>
                <w:szCs w:val="24"/>
                <w:highlight w:val="none"/>
              </w:rPr>
              <w:t>验收。</w:t>
            </w:r>
          </w:p>
          <w:p>
            <w:pPr>
              <w:pageBreakBefore w:val="0"/>
              <w:kinsoku/>
              <w:wordWrap/>
              <w:overflowPunct/>
              <w:topLinePunct w:val="0"/>
              <w:autoSpaceDE/>
              <w:autoSpaceDN/>
              <w:bidi w:val="0"/>
              <w:adjustRightInd/>
              <w:snapToGrid/>
              <w:spacing w:line="400" w:lineRule="exact"/>
              <w:ind w:left="0" w:leftChars="0" w:firstLine="0" w:firstLineChars="0"/>
              <w:textAlignment w:val="auto"/>
              <w:rPr>
                <w:rStyle w:val="25"/>
                <w:rFonts w:hint="eastAsia" w:asciiTheme="majorEastAsia" w:hAnsiTheme="majorEastAsia" w:eastAsiaTheme="majorEastAsia" w:cstheme="majorEastAsia"/>
                <w:b w:val="0"/>
                <w:bCs/>
                <w:color w:val="auto"/>
                <w:sz w:val="24"/>
                <w:szCs w:val="24"/>
                <w:highlight w:val="none"/>
                <w:lang w:val="en-US" w:eastAsia="zh-CN"/>
              </w:rPr>
            </w:pPr>
            <w:r>
              <w:rPr>
                <w:rStyle w:val="25"/>
                <w:rFonts w:hint="eastAsia" w:asciiTheme="majorEastAsia" w:hAnsiTheme="majorEastAsia" w:eastAsiaTheme="majorEastAsia" w:cstheme="majorEastAsia"/>
                <w:b w:val="0"/>
                <w:bCs/>
                <w:color w:val="auto"/>
                <w:sz w:val="24"/>
                <w:szCs w:val="24"/>
                <w:highlight w:val="none"/>
                <w:lang w:val="en-US" w:eastAsia="zh-CN"/>
              </w:rPr>
              <w:t>4.2</w:t>
            </w:r>
            <w:r>
              <w:rPr>
                <w:rStyle w:val="25"/>
                <w:rFonts w:hint="eastAsia" w:asciiTheme="majorEastAsia" w:hAnsiTheme="majorEastAsia" w:eastAsiaTheme="majorEastAsia" w:cstheme="majorEastAsia"/>
                <w:b w:val="0"/>
                <w:bCs/>
                <w:color w:val="auto"/>
                <w:sz w:val="24"/>
                <w:szCs w:val="24"/>
                <w:highlight w:val="none"/>
              </w:rPr>
              <w:t>最终验收在招标人指定的安装现场进行，</w:t>
            </w:r>
            <w:r>
              <w:rPr>
                <w:rStyle w:val="25"/>
                <w:rFonts w:hint="eastAsia" w:asciiTheme="majorEastAsia" w:hAnsiTheme="majorEastAsia" w:eastAsiaTheme="majorEastAsia" w:cstheme="majorEastAsia"/>
                <w:b w:val="0"/>
                <w:bCs/>
                <w:color w:val="auto"/>
                <w:sz w:val="24"/>
                <w:szCs w:val="24"/>
                <w:highlight w:val="none"/>
                <w:lang w:eastAsia="zh-CN"/>
              </w:rPr>
              <w:t>并向行业主管部门申请最终验收，期间</w:t>
            </w:r>
            <w:r>
              <w:rPr>
                <w:rStyle w:val="25"/>
                <w:rFonts w:hint="eastAsia" w:asciiTheme="majorEastAsia" w:hAnsiTheme="majorEastAsia" w:eastAsiaTheme="majorEastAsia" w:cstheme="majorEastAsia"/>
                <w:b w:val="0"/>
                <w:bCs/>
                <w:color w:val="auto"/>
                <w:sz w:val="24"/>
                <w:szCs w:val="24"/>
                <w:highlight w:val="none"/>
              </w:rPr>
              <w:t>所发生的一切费用由中标人承担。</w:t>
            </w:r>
          </w:p>
        </w:tc>
      </w:tr>
    </w:tbl>
    <w:p>
      <w:pPr>
        <w:pStyle w:val="3"/>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10.履约保证金</w:t>
      </w:r>
    </w:p>
    <w:p>
      <w:pPr>
        <w:pageBreakBefore w:val="0"/>
        <w:kinsoku/>
        <w:wordWrap/>
        <w:overflowPunct/>
        <w:topLinePunct w:val="0"/>
        <w:autoSpaceDE/>
        <w:autoSpaceDN/>
        <w:bidi w:val="0"/>
        <w:adjustRightInd/>
        <w:snapToGrid/>
        <w:spacing w:line="400" w:lineRule="exact"/>
        <w:textAlignment w:val="auto"/>
        <w:rPr>
          <w:rFonts w:hint="default"/>
          <w:color w:val="auto"/>
          <w:sz w:val="24"/>
          <w:szCs w:val="24"/>
          <w:highlight w:val="none"/>
          <w:lang w:val="en-US" w:eastAsia="zh-CN"/>
        </w:rPr>
      </w:pPr>
      <w:r>
        <w:rPr>
          <w:rStyle w:val="25"/>
          <w:rFonts w:hint="eastAsia" w:asciiTheme="majorEastAsia" w:hAnsiTheme="majorEastAsia" w:eastAsiaTheme="majorEastAsia" w:cstheme="majorEastAsia"/>
          <w:b w:val="0"/>
          <w:bCs/>
          <w:color w:val="auto"/>
          <w:sz w:val="24"/>
          <w:szCs w:val="24"/>
          <w:highlight w:val="none"/>
        </w:rPr>
        <w:t>合同签订前，中标人需向招标人缴纳合同总金额5%的履约</w:t>
      </w:r>
      <w:r>
        <w:rPr>
          <w:rStyle w:val="25"/>
          <w:rFonts w:hint="eastAsia" w:asciiTheme="majorEastAsia" w:hAnsiTheme="majorEastAsia" w:eastAsiaTheme="majorEastAsia" w:cstheme="majorEastAsia"/>
          <w:b w:val="0"/>
          <w:bCs/>
          <w:color w:val="auto"/>
          <w:sz w:val="24"/>
          <w:szCs w:val="24"/>
          <w:highlight w:val="none"/>
          <w:lang w:eastAsia="zh-CN"/>
        </w:rPr>
        <w:t>保证金，</w:t>
      </w:r>
      <w:r>
        <w:rPr>
          <w:rStyle w:val="25"/>
          <w:rFonts w:hint="eastAsia" w:asciiTheme="majorEastAsia" w:hAnsiTheme="majorEastAsia" w:eastAsiaTheme="majorEastAsia" w:cstheme="majorEastAsia"/>
          <w:b w:val="0"/>
          <w:bCs/>
          <w:color w:val="auto"/>
          <w:sz w:val="24"/>
          <w:szCs w:val="24"/>
          <w:highlight w:val="none"/>
        </w:rPr>
        <w:t>履约保证金以公对公转账汇入招标人指定账户或以银行保函方式缴纳</w:t>
      </w:r>
      <w:r>
        <w:rPr>
          <w:rStyle w:val="25"/>
          <w:rFonts w:hint="eastAsia" w:asciiTheme="majorEastAsia" w:hAnsiTheme="majorEastAsia" w:eastAsiaTheme="majorEastAsia" w:cstheme="majorEastAsia"/>
          <w:b w:val="0"/>
          <w:bCs/>
          <w:color w:val="auto"/>
          <w:sz w:val="24"/>
          <w:szCs w:val="24"/>
          <w:highlight w:val="none"/>
          <w:lang w:eastAsia="zh-CN"/>
        </w:rPr>
        <w:t>。</w:t>
      </w:r>
      <w:r>
        <w:rPr>
          <w:rStyle w:val="25"/>
          <w:rFonts w:hint="eastAsia" w:asciiTheme="majorEastAsia" w:hAnsiTheme="majorEastAsia" w:eastAsiaTheme="majorEastAsia" w:cstheme="majorEastAsia"/>
          <w:b w:val="0"/>
          <w:bCs/>
          <w:color w:val="auto"/>
          <w:sz w:val="24"/>
          <w:szCs w:val="24"/>
          <w:highlight w:val="none"/>
        </w:rPr>
        <w:t>履约保证金</w:t>
      </w:r>
      <w:r>
        <w:rPr>
          <w:rStyle w:val="25"/>
          <w:rFonts w:hint="eastAsia" w:asciiTheme="majorEastAsia" w:hAnsiTheme="majorEastAsia" w:eastAsiaTheme="majorEastAsia" w:cstheme="majorEastAsia"/>
          <w:b w:val="0"/>
          <w:bCs/>
          <w:color w:val="auto"/>
          <w:sz w:val="24"/>
          <w:szCs w:val="24"/>
          <w:highlight w:val="none"/>
          <w:lang w:eastAsia="zh-CN"/>
        </w:rPr>
        <w:t>在货物</w:t>
      </w:r>
      <w:r>
        <w:rPr>
          <w:rStyle w:val="25"/>
          <w:rFonts w:hint="eastAsia" w:asciiTheme="majorEastAsia" w:hAnsiTheme="majorEastAsia" w:eastAsiaTheme="majorEastAsia" w:cstheme="majorEastAsia"/>
          <w:b w:val="0"/>
          <w:bCs/>
          <w:color w:val="auto"/>
          <w:sz w:val="24"/>
          <w:szCs w:val="24"/>
          <w:highlight w:val="none"/>
          <w:lang w:val="en-US" w:eastAsia="zh-CN"/>
        </w:rPr>
        <w:t>通过行业主管部门验收合格后</w:t>
      </w:r>
      <w:r>
        <w:rPr>
          <w:rStyle w:val="25"/>
          <w:rFonts w:hint="eastAsia" w:asciiTheme="majorEastAsia" w:hAnsiTheme="majorEastAsia" w:eastAsiaTheme="majorEastAsia" w:cstheme="majorEastAsia"/>
          <w:b w:val="0"/>
          <w:bCs/>
          <w:color w:val="auto"/>
          <w:sz w:val="24"/>
          <w:szCs w:val="24"/>
          <w:highlight w:val="none"/>
          <w:lang w:eastAsia="zh-CN"/>
        </w:rPr>
        <w:t>无</w:t>
      </w:r>
      <w:r>
        <w:rPr>
          <w:rStyle w:val="25"/>
          <w:rFonts w:hint="eastAsia" w:asciiTheme="majorEastAsia" w:hAnsiTheme="majorEastAsia" w:eastAsiaTheme="majorEastAsia" w:cstheme="majorEastAsia"/>
          <w:b w:val="0"/>
          <w:bCs/>
          <w:color w:val="auto"/>
          <w:sz w:val="24"/>
          <w:szCs w:val="24"/>
          <w:highlight w:val="none"/>
        </w:rPr>
        <w:t>未了事宜，一次性无息退还。</w:t>
      </w:r>
    </w:p>
    <w:p>
      <w:pPr>
        <w:pStyle w:val="3"/>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w:t>
      </w:r>
      <w:r>
        <w:rPr>
          <w:rFonts w:hint="eastAsia" w:asciiTheme="majorEastAsia" w:hAnsiTheme="majorEastAsia" w:eastAsiaTheme="majorEastAsia" w:cstheme="majorEastAsia"/>
          <w:color w:val="auto"/>
          <w:sz w:val="24"/>
          <w:szCs w:val="24"/>
          <w:highlight w:val="none"/>
          <w:lang w:val="en-US" w:eastAsia="zh-CN"/>
        </w:rPr>
        <w:t>1</w:t>
      </w:r>
      <w:r>
        <w:rPr>
          <w:rFonts w:hint="eastAsia" w:asciiTheme="majorEastAsia" w:hAnsiTheme="majorEastAsia" w:eastAsiaTheme="majorEastAsia" w:cstheme="majorEastAsia"/>
          <w:color w:val="auto"/>
          <w:sz w:val="24"/>
          <w:szCs w:val="24"/>
          <w:highlight w:val="none"/>
        </w:rPr>
        <w:t>.安全责任</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乙方在渔排安装过程中造成的生产安全事故和环境污染事故，由乙方承担事故责任和经济责任，与甲方无关。</w:t>
      </w:r>
    </w:p>
    <w:p>
      <w:pPr>
        <w:pStyle w:val="3"/>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w:t>
      </w:r>
      <w:r>
        <w:rPr>
          <w:rFonts w:hint="eastAsia" w:asciiTheme="majorEastAsia" w:hAnsiTheme="majorEastAsia" w:eastAsiaTheme="majorEastAsia" w:cstheme="majorEastAsia"/>
          <w:color w:val="auto"/>
          <w:sz w:val="24"/>
          <w:szCs w:val="24"/>
          <w:highlight w:val="none"/>
          <w:lang w:val="en-US" w:eastAsia="zh-CN"/>
        </w:rPr>
        <w:t>2</w:t>
      </w:r>
      <w:r>
        <w:rPr>
          <w:rFonts w:hint="eastAsia" w:asciiTheme="majorEastAsia" w:hAnsiTheme="majorEastAsia" w:eastAsiaTheme="majorEastAsia" w:cstheme="majorEastAsia"/>
          <w:color w:val="auto"/>
          <w:sz w:val="24"/>
          <w:szCs w:val="24"/>
          <w:highlight w:val="none"/>
        </w:rPr>
        <w:t>.质量保证</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各合同包货物质保期要求均为货物经最终验收合格后 </w:t>
      </w:r>
      <w:r>
        <w:rPr>
          <w:rFonts w:hint="eastAsia" w:asciiTheme="majorEastAsia" w:hAnsiTheme="majorEastAsia" w:eastAsiaTheme="majorEastAsia" w:cstheme="majorEastAsia"/>
          <w:color w:val="auto"/>
          <w:sz w:val="24"/>
          <w:szCs w:val="24"/>
          <w:highlight w:val="none"/>
          <w:u w:val="single"/>
        </w:rPr>
        <w:t>24</w:t>
      </w:r>
      <w:r>
        <w:rPr>
          <w:rFonts w:hint="eastAsia" w:asciiTheme="majorEastAsia" w:hAnsiTheme="majorEastAsia" w:eastAsiaTheme="majorEastAsia" w:cstheme="majorEastAsia"/>
          <w:color w:val="auto"/>
          <w:sz w:val="24"/>
          <w:szCs w:val="24"/>
          <w:highlight w:val="none"/>
        </w:rPr>
        <w:t>个月，在质量保证期内设备运行发生故障时，乙方在接到甲方故障通知后</w:t>
      </w:r>
      <w:r>
        <w:rPr>
          <w:rFonts w:hint="eastAsia" w:asciiTheme="majorEastAsia" w:hAnsiTheme="majorEastAsia" w:eastAsiaTheme="majorEastAsia" w:cstheme="majorEastAsia"/>
          <w:color w:val="auto"/>
          <w:sz w:val="24"/>
          <w:szCs w:val="24"/>
          <w:highlight w:val="none"/>
          <w:u w:val="single"/>
        </w:rPr>
        <w:t xml:space="preserve"> 48 </w:t>
      </w:r>
      <w:r>
        <w:rPr>
          <w:rFonts w:hint="eastAsia" w:asciiTheme="majorEastAsia" w:hAnsiTheme="majorEastAsia" w:eastAsiaTheme="majorEastAsia" w:cstheme="majorEastAsia"/>
          <w:color w:val="auto"/>
          <w:sz w:val="24"/>
          <w:szCs w:val="24"/>
          <w:highlight w:val="none"/>
        </w:rPr>
        <w:t>小时内应委派专业技术人员到现场免费提供咨询、维修和更换零部件等服务，并及时填写维修报告（包括故障原因、处理情况及甲方意见等）报甲方备案，若</w:t>
      </w:r>
      <w:r>
        <w:rPr>
          <w:rFonts w:hint="eastAsia" w:asciiTheme="majorEastAsia" w:hAnsiTheme="majorEastAsia" w:eastAsiaTheme="majorEastAsia" w:cstheme="majorEastAsia"/>
          <w:color w:val="auto"/>
          <w:sz w:val="24"/>
          <w:szCs w:val="24"/>
          <w:highlight w:val="none"/>
          <w:u w:val="single"/>
        </w:rPr>
        <w:t xml:space="preserve"> 72 </w:t>
      </w:r>
      <w:r>
        <w:rPr>
          <w:rFonts w:hint="eastAsia" w:asciiTheme="majorEastAsia" w:hAnsiTheme="majorEastAsia" w:eastAsiaTheme="majorEastAsia" w:cstheme="majorEastAsia"/>
          <w:color w:val="auto"/>
          <w:sz w:val="24"/>
          <w:szCs w:val="24"/>
          <w:highlight w:val="none"/>
        </w:rPr>
        <w:t>小时内无法排除故障，则应先提供同规格的备用材料供甲方使用,若乙方无法提供，甲方有权委托第三方排除故障。其中发生一切费用由乙方承担。质量保证期内乙方有责任对设备进行不定期的巡查检修。乙方视自身能力在投标文件中提供更优、更合理的维修服务承诺。</w:t>
      </w:r>
    </w:p>
    <w:p>
      <w:pPr>
        <w:pStyle w:val="3"/>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w:t>
      </w:r>
      <w:r>
        <w:rPr>
          <w:rFonts w:hint="eastAsia" w:asciiTheme="majorEastAsia" w:hAnsiTheme="majorEastAsia" w:eastAsiaTheme="majorEastAsia" w:cstheme="majorEastAsia"/>
          <w:color w:val="auto"/>
          <w:sz w:val="24"/>
          <w:szCs w:val="24"/>
          <w:highlight w:val="none"/>
          <w:lang w:val="en-US" w:eastAsia="zh-CN"/>
        </w:rPr>
        <w:t>3</w:t>
      </w:r>
      <w:r>
        <w:rPr>
          <w:rFonts w:hint="eastAsia" w:asciiTheme="majorEastAsia" w:hAnsiTheme="majorEastAsia" w:eastAsiaTheme="majorEastAsia" w:cstheme="majorEastAsia"/>
          <w:color w:val="auto"/>
          <w:sz w:val="24"/>
          <w:szCs w:val="24"/>
          <w:highlight w:val="none"/>
        </w:rPr>
        <w:t>.知识产权</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乙方须保障甲方在使用该货物或其任何一部分时不受到第三方关于侵犯专利权、商标权或工业设计权等知识产权的指控。任何第三方提出与本合同有关的侵权指控与甲方无关，乙方须与第三方交涉并承担可能发生的责任与一切费用。如甲方因此而遭致损失的，乙方应赔偿该损失。</w:t>
      </w:r>
    </w:p>
    <w:p>
      <w:pPr>
        <w:pStyle w:val="3"/>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w:t>
      </w:r>
      <w:r>
        <w:rPr>
          <w:rFonts w:hint="eastAsia" w:asciiTheme="majorEastAsia" w:hAnsiTheme="majorEastAsia" w:eastAsiaTheme="majorEastAsia" w:cstheme="majorEastAsia"/>
          <w:color w:val="auto"/>
          <w:sz w:val="24"/>
          <w:szCs w:val="24"/>
          <w:highlight w:val="none"/>
          <w:lang w:val="en-US" w:eastAsia="zh-CN"/>
        </w:rPr>
        <w:t>4</w:t>
      </w:r>
      <w:r>
        <w:rPr>
          <w:rFonts w:hint="eastAsia" w:asciiTheme="majorEastAsia" w:hAnsiTheme="majorEastAsia" w:eastAsiaTheme="majorEastAsia" w:cstheme="majorEastAsia"/>
          <w:color w:val="auto"/>
          <w:sz w:val="24"/>
          <w:szCs w:val="24"/>
          <w:highlight w:val="none"/>
        </w:rPr>
        <w:t>.违约责任</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w:t>
      </w:r>
      <w:r>
        <w:rPr>
          <w:rFonts w:hint="eastAsia" w:asciiTheme="majorEastAsia" w:hAnsiTheme="majorEastAsia" w:eastAsiaTheme="majorEastAsia" w:cstheme="majorEastAsia"/>
          <w:color w:val="auto"/>
          <w:sz w:val="24"/>
          <w:szCs w:val="24"/>
          <w:highlight w:val="none"/>
          <w:lang w:val="en-US" w:eastAsia="zh-CN"/>
        </w:rPr>
        <w:t>4</w:t>
      </w:r>
      <w:r>
        <w:rPr>
          <w:rFonts w:hint="eastAsia" w:asciiTheme="majorEastAsia" w:hAnsiTheme="majorEastAsia" w:eastAsiaTheme="majorEastAsia" w:cstheme="majorEastAsia"/>
          <w:color w:val="auto"/>
          <w:sz w:val="24"/>
          <w:szCs w:val="24"/>
          <w:highlight w:val="none"/>
        </w:rPr>
        <w:t>.1未按期交货的违约责任</w:t>
      </w:r>
    </w:p>
    <w:p>
      <w:pPr>
        <w:pStyle w:val="18"/>
        <w:pageBreakBefore w:val="0"/>
        <w:widowControl/>
        <w:shd w:val="clear" w:color="auto" w:fill="FFFFFF"/>
        <w:kinsoku/>
        <w:wordWrap/>
        <w:overflowPunct/>
        <w:topLinePunct w:val="0"/>
        <w:autoSpaceDE/>
        <w:autoSpaceDN/>
        <w:bidi w:val="0"/>
        <w:adjustRightInd/>
        <w:snapToGrid/>
        <w:spacing w:line="400" w:lineRule="exact"/>
        <w:ind w:firstLine="480" w:firstLineChars="200"/>
        <w:textAlignment w:val="auto"/>
        <w:rPr>
          <w:rFonts w:hint="eastAsia" w:asciiTheme="majorEastAsia" w:hAnsiTheme="majorEastAsia" w:eastAsiaTheme="majorEastAsia" w:cstheme="majorEastAsia"/>
          <w:color w:val="auto"/>
          <w:sz w:val="24"/>
          <w:szCs w:val="24"/>
          <w:highlight w:val="none"/>
          <w:shd w:val="clear" w:color="auto" w:fill="FFFFFF"/>
          <w:lang w:val="en-US" w:eastAsia="zh-CN"/>
        </w:rPr>
      </w:pPr>
      <w:r>
        <w:rPr>
          <w:rFonts w:hint="eastAsia" w:asciiTheme="majorEastAsia" w:hAnsiTheme="majorEastAsia" w:eastAsiaTheme="majorEastAsia" w:cstheme="majorEastAsia"/>
          <w:color w:val="auto"/>
          <w:sz w:val="24"/>
          <w:szCs w:val="24"/>
          <w:highlight w:val="none"/>
          <w:shd w:val="clear" w:color="auto" w:fill="FFFFFF"/>
          <w:lang w:val="en-US" w:eastAsia="zh-CN"/>
        </w:rPr>
        <w:t>如果乙方未能按合同规定的时间按时足额交货的（不可抗力的原因除外），甲方同意延长交货期的，延期交货的时间由双方另行确定。若逾期交货所产生的违约金，甲方有权从未付的合同货款中扣除。每逾期1天，违约金按人民币贰仟元整（¥2000.00元）扣除。若因此给甲方造成损失的，还应赔偿甲方所受的损失。</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w:t>
      </w:r>
      <w:r>
        <w:rPr>
          <w:rFonts w:hint="eastAsia" w:asciiTheme="majorEastAsia" w:hAnsiTheme="majorEastAsia" w:eastAsiaTheme="majorEastAsia" w:cstheme="majorEastAsia"/>
          <w:color w:val="auto"/>
          <w:sz w:val="24"/>
          <w:szCs w:val="24"/>
          <w:highlight w:val="none"/>
          <w:lang w:val="en-US" w:eastAsia="zh-CN"/>
        </w:rPr>
        <w:t>4</w:t>
      </w:r>
      <w:r>
        <w:rPr>
          <w:rFonts w:hint="eastAsia" w:asciiTheme="majorEastAsia" w:hAnsiTheme="majorEastAsia" w:eastAsiaTheme="majorEastAsia" w:cstheme="majorEastAsia"/>
          <w:color w:val="auto"/>
          <w:sz w:val="24"/>
          <w:szCs w:val="24"/>
          <w:highlight w:val="none"/>
        </w:rPr>
        <w:t>.2若乙方不能交货的（逾期30天视为不能交货，因不可抗拒的因素除外）或交货不合格从而影响甲方正常使用的，乙方应向甲方偿付不能交货部分货款的</w:t>
      </w:r>
      <w:r>
        <w:rPr>
          <w:rFonts w:hint="eastAsia" w:asciiTheme="majorEastAsia" w:hAnsiTheme="majorEastAsia" w:eastAsiaTheme="majorEastAsia" w:cstheme="majorEastAsia"/>
          <w:color w:val="auto"/>
          <w:sz w:val="24"/>
          <w:szCs w:val="24"/>
          <w:highlight w:val="none"/>
          <w:u w:val="single"/>
        </w:rPr>
        <w:t xml:space="preserve">30 </w:t>
      </w:r>
      <w:r>
        <w:rPr>
          <w:rFonts w:hint="eastAsia" w:asciiTheme="majorEastAsia" w:hAnsiTheme="majorEastAsia" w:eastAsiaTheme="majorEastAsia" w:cstheme="majorEastAsia"/>
          <w:color w:val="auto"/>
          <w:sz w:val="24"/>
          <w:szCs w:val="24"/>
          <w:highlight w:val="none"/>
        </w:rPr>
        <w:t>％的违约金。违约金不足以补偿损失的，甲方有权要求乙方赔偿损失。</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w:t>
      </w:r>
      <w:r>
        <w:rPr>
          <w:rFonts w:hint="eastAsia" w:asciiTheme="majorEastAsia" w:hAnsiTheme="majorEastAsia" w:eastAsiaTheme="majorEastAsia" w:cstheme="majorEastAsia"/>
          <w:color w:val="auto"/>
          <w:sz w:val="24"/>
          <w:szCs w:val="24"/>
          <w:highlight w:val="none"/>
          <w:lang w:val="en-US" w:eastAsia="zh-CN"/>
        </w:rPr>
        <w:t>4</w:t>
      </w:r>
      <w:r>
        <w:rPr>
          <w:rFonts w:hint="eastAsia" w:asciiTheme="majorEastAsia" w:hAnsiTheme="majorEastAsia" w:eastAsiaTheme="majorEastAsia" w:cstheme="majorEastAsia"/>
          <w:color w:val="auto"/>
          <w:sz w:val="24"/>
          <w:szCs w:val="24"/>
          <w:highlight w:val="none"/>
        </w:rPr>
        <w:t>.3如果乙方未能按照合同约定的时间提供服务的或未按进度计划表完成货物安装、调试及提交验收的，每逾期</w:t>
      </w:r>
      <w:r>
        <w:rPr>
          <w:rFonts w:hint="eastAsia" w:asciiTheme="majorEastAsia" w:hAnsiTheme="majorEastAsia" w:eastAsiaTheme="majorEastAsia" w:cstheme="majorEastAsia"/>
          <w:color w:val="auto"/>
          <w:sz w:val="24"/>
          <w:szCs w:val="24"/>
          <w:highlight w:val="none"/>
          <w:u w:val="single"/>
        </w:rPr>
        <w:t xml:space="preserve"> 1</w:t>
      </w:r>
      <w:r>
        <w:rPr>
          <w:rFonts w:hint="eastAsia" w:asciiTheme="majorEastAsia" w:hAnsiTheme="majorEastAsia" w:eastAsiaTheme="majorEastAsia" w:cstheme="majorEastAsia"/>
          <w:color w:val="auto"/>
          <w:sz w:val="24"/>
          <w:szCs w:val="24"/>
          <w:highlight w:val="none"/>
        </w:rPr>
        <w:t>天，乙方应向甲方支付人名币</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u w:val="single"/>
          <w:lang w:val="en-US" w:eastAsia="zh-CN"/>
        </w:rPr>
        <w:t>2</w:t>
      </w:r>
      <w:r>
        <w:rPr>
          <w:rFonts w:hint="eastAsia" w:asciiTheme="majorEastAsia" w:hAnsiTheme="majorEastAsia" w:eastAsiaTheme="majorEastAsia" w:cstheme="majorEastAsia"/>
          <w:color w:val="auto"/>
          <w:sz w:val="24"/>
          <w:szCs w:val="24"/>
          <w:highlight w:val="none"/>
          <w:u w:val="single"/>
        </w:rPr>
        <w:t xml:space="preserve">000.00 </w:t>
      </w:r>
      <w:r>
        <w:rPr>
          <w:rFonts w:hint="eastAsia" w:asciiTheme="majorEastAsia" w:hAnsiTheme="majorEastAsia" w:eastAsiaTheme="majorEastAsia" w:cstheme="majorEastAsia"/>
          <w:color w:val="auto"/>
          <w:sz w:val="24"/>
          <w:szCs w:val="24"/>
          <w:highlight w:val="none"/>
        </w:rPr>
        <w:t>元（¥：</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u w:val="single"/>
          <w:lang w:val="en-US" w:eastAsia="zh-CN"/>
        </w:rPr>
        <w:t>贰</w:t>
      </w:r>
      <w:r>
        <w:rPr>
          <w:rFonts w:hint="eastAsia" w:asciiTheme="majorEastAsia" w:hAnsiTheme="majorEastAsia" w:eastAsiaTheme="majorEastAsia" w:cstheme="majorEastAsia"/>
          <w:color w:val="auto"/>
          <w:sz w:val="24"/>
          <w:szCs w:val="24"/>
          <w:highlight w:val="none"/>
          <w:u w:val="single"/>
        </w:rPr>
        <w:t xml:space="preserve">仟元整  </w:t>
      </w:r>
      <w:r>
        <w:rPr>
          <w:rFonts w:hint="eastAsia" w:asciiTheme="majorEastAsia" w:hAnsiTheme="majorEastAsia" w:eastAsiaTheme="majorEastAsia" w:cstheme="majorEastAsia"/>
          <w:color w:val="auto"/>
          <w:sz w:val="24"/>
          <w:szCs w:val="24"/>
          <w:highlight w:val="none"/>
        </w:rPr>
        <w:t>）违约金，若因此给甲方造成损失的，乙方还应赔偿甲方所受的损失。</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w:t>
      </w:r>
      <w:r>
        <w:rPr>
          <w:rFonts w:hint="eastAsia" w:asciiTheme="majorEastAsia" w:hAnsiTheme="majorEastAsia" w:eastAsiaTheme="majorEastAsia" w:cstheme="majorEastAsia"/>
          <w:color w:val="auto"/>
          <w:sz w:val="24"/>
          <w:szCs w:val="24"/>
          <w:highlight w:val="none"/>
          <w:lang w:val="en-US" w:eastAsia="zh-CN"/>
        </w:rPr>
        <w:t>4</w:t>
      </w:r>
      <w:r>
        <w:rPr>
          <w:rFonts w:hint="eastAsia" w:asciiTheme="majorEastAsia" w:hAnsiTheme="majorEastAsia" w:eastAsiaTheme="majorEastAsia" w:cstheme="majorEastAsia"/>
          <w:color w:val="auto"/>
          <w:sz w:val="24"/>
          <w:szCs w:val="24"/>
          <w:highlight w:val="none"/>
        </w:rPr>
        <w:t>.4乙方在接到甲方故障通知未及时委派专业技术人员提供相关服务，或未在规定的时间内排除故障又无法提供备用材料的，每次罚款人名币</w:t>
      </w:r>
      <w:r>
        <w:rPr>
          <w:rFonts w:hint="eastAsia" w:asciiTheme="majorEastAsia" w:hAnsiTheme="majorEastAsia" w:eastAsiaTheme="majorEastAsia" w:cstheme="majorEastAsia"/>
          <w:color w:val="auto"/>
          <w:kern w:val="0"/>
          <w:sz w:val="24"/>
          <w:szCs w:val="24"/>
          <w:highlight w:val="none"/>
          <w:u w:val="single"/>
        </w:rPr>
        <w:t xml:space="preserve">2000.00 </w:t>
      </w:r>
      <w:r>
        <w:rPr>
          <w:rFonts w:hint="eastAsia" w:asciiTheme="majorEastAsia" w:hAnsiTheme="majorEastAsia" w:eastAsiaTheme="majorEastAsia" w:cstheme="majorEastAsia"/>
          <w:color w:val="auto"/>
          <w:sz w:val="24"/>
          <w:szCs w:val="24"/>
          <w:highlight w:val="none"/>
        </w:rPr>
        <w:t>元（¥：</w:t>
      </w:r>
      <w:r>
        <w:rPr>
          <w:rFonts w:hint="eastAsia" w:asciiTheme="majorEastAsia" w:hAnsiTheme="majorEastAsia" w:eastAsiaTheme="majorEastAsia" w:cstheme="majorEastAsia"/>
          <w:color w:val="auto"/>
          <w:sz w:val="24"/>
          <w:szCs w:val="24"/>
          <w:highlight w:val="none"/>
          <w:u w:val="single"/>
        </w:rPr>
        <w:t xml:space="preserve">  贰仟元整  </w:t>
      </w:r>
      <w:r>
        <w:rPr>
          <w:rFonts w:hint="eastAsia" w:asciiTheme="majorEastAsia" w:hAnsiTheme="majorEastAsia" w:eastAsiaTheme="majorEastAsia" w:cstheme="majorEastAsia"/>
          <w:color w:val="auto"/>
          <w:sz w:val="24"/>
          <w:szCs w:val="24"/>
          <w:highlight w:val="none"/>
        </w:rPr>
        <w:t>）。逾期两次的，甲方有权单方解除合同。</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w:t>
      </w:r>
      <w:r>
        <w:rPr>
          <w:rFonts w:hint="eastAsia" w:asciiTheme="majorEastAsia" w:hAnsiTheme="majorEastAsia" w:eastAsiaTheme="majorEastAsia" w:cstheme="majorEastAsia"/>
          <w:color w:val="auto"/>
          <w:sz w:val="24"/>
          <w:szCs w:val="24"/>
          <w:highlight w:val="none"/>
          <w:lang w:val="en-US" w:eastAsia="zh-CN"/>
        </w:rPr>
        <w:t>4</w:t>
      </w:r>
      <w:r>
        <w:rPr>
          <w:rFonts w:hint="eastAsia" w:asciiTheme="majorEastAsia" w:hAnsiTheme="majorEastAsia" w:eastAsiaTheme="majorEastAsia" w:cstheme="majorEastAsia"/>
          <w:color w:val="auto"/>
          <w:sz w:val="24"/>
          <w:szCs w:val="24"/>
          <w:highlight w:val="none"/>
        </w:rPr>
        <w:t>.5甲方逾期付款的（有正当拒付理由的除外）应按照逾期金额的</w:t>
      </w:r>
      <w:r>
        <w:rPr>
          <w:rFonts w:hint="eastAsia" w:asciiTheme="majorEastAsia" w:hAnsiTheme="majorEastAsia" w:eastAsiaTheme="majorEastAsia" w:cstheme="majorEastAsia"/>
          <w:color w:val="auto"/>
          <w:sz w:val="24"/>
          <w:szCs w:val="24"/>
          <w:highlight w:val="none"/>
          <w:u w:val="single"/>
        </w:rPr>
        <w:t xml:space="preserve"> 每日0.021% </w:t>
      </w:r>
      <w:r>
        <w:rPr>
          <w:rFonts w:hint="eastAsia" w:asciiTheme="majorEastAsia" w:hAnsiTheme="majorEastAsia" w:eastAsiaTheme="majorEastAsia" w:cstheme="majorEastAsia"/>
          <w:color w:val="auto"/>
          <w:sz w:val="24"/>
          <w:szCs w:val="24"/>
          <w:highlight w:val="none"/>
        </w:rPr>
        <w:t>支付逾期付款违约金。</w:t>
      </w:r>
      <w:r>
        <w:rPr>
          <w:rFonts w:hint="eastAsia" w:asciiTheme="majorEastAsia" w:hAnsiTheme="majorEastAsia" w:eastAsiaTheme="majorEastAsia" w:cstheme="majorEastAsia"/>
          <w:b/>
          <w:bCs/>
          <w:color w:val="auto"/>
          <w:sz w:val="24"/>
          <w:szCs w:val="24"/>
          <w:highlight w:val="none"/>
        </w:rPr>
        <w:t>如甲方逾期付款，乙方有权不予开展下一阶段（下一进度）的工作，且无须承担任何违约责任，交货期相应顺延，同时乙方有权单方解除合同，如因此造成乙方损失，甲方应予以赔偿。</w:t>
      </w:r>
    </w:p>
    <w:p>
      <w:pPr>
        <w:pStyle w:val="3"/>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w:t>
      </w:r>
      <w:r>
        <w:rPr>
          <w:rFonts w:hint="eastAsia" w:asciiTheme="majorEastAsia" w:hAnsiTheme="majorEastAsia" w:eastAsiaTheme="majorEastAsia" w:cstheme="majorEastAsia"/>
          <w:color w:val="auto"/>
          <w:sz w:val="24"/>
          <w:szCs w:val="24"/>
          <w:highlight w:val="none"/>
          <w:lang w:val="en-US" w:eastAsia="zh-CN"/>
        </w:rPr>
        <w:t>5</w:t>
      </w:r>
      <w:r>
        <w:rPr>
          <w:rFonts w:hint="eastAsia" w:asciiTheme="majorEastAsia" w:hAnsiTheme="majorEastAsia" w:eastAsiaTheme="majorEastAsia" w:cstheme="majorEastAsia"/>
          <w:color w:val="auto"/>
          <w:sz w:val="24"/>
          <w:szCs w:val="24"/>
          <w:highlight w:val="none"/>
        </w:rPr>
        <w:t>.不可抗力</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因不可抗力造成违约的，遭受不可抗力一方应及时向对方通报不能履行或不能完全履行的理由，并在随后取得有关主管机关证明后的15日内向另一方提供可抗力发生以及持续期间的充分证据。基本于以上行为，允许遭受不可抗力一方延期履行、部分履行或者不履行合同，并根据情况可部分或全部免于承担违约责任。</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本合同中的不可抗力指不能预见、不能避免并不能克服的客观情况。包括但不限于：自然灾害如地震、台风、洪水、火灾；政府行为、法律规定或其适用的变化或者其他任何无法预见、避免或者控制的事件。</w:t>
      </w:r>
    </w:p>
    <w:p>
      <w:pPr>
        <w:pStyle w:val="3"/>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w:t>
      </w:r>
      <w:r>
        <w:rPr>
          <w:rFonts w:hint="eastAsia" w:asciiTheme="majorEastAsia" w:hAnsiTheme="majorEastAsia" w:eastAsiaTheme="majorEastAsia" w:cstheme="majorEastAsia"/>
          <w:color w:val="auto"/>
          <w:sz w:val="24"/>
          <w:szCs w:val="24"/>
          <w:highlight w:val="none"/>
          <w:lang w:val="en-US" w:eastAsia="zh-CN"/>
        </w:rPr>
        <w:t>6</w:t>
      </w:r>
      <w:r>
        <w:rPr>
          <w:rFonts w:hint="eastAsia" w:asciiTheme="majorEastAsia" w:hAnsiTheme="majorEastAsia" w:eastAsiaTheme="majorEastAsia" w:cstheme="majorEastAsia"/>
          <w:color w:val="auto"/>
          <w:sz w:val="24"/>
          <w:szCs w:val="24"/>
          <w:highlight w:val="none"/>
        </w:rPr>
        <w:t>.合同纠纷处理方式</w:t>
      </w:r>
    </w:p>
    <w:p>
      <w:pPr>
        <w:pageBreakBefore w:val="0"/>
        <w:kinsoku/>
        <w:wordWrap/>
        <w:overflowPunct/>
        <w:topLinePunct w:val="0"/>
        <w:autoSpaceDE/>
        <w:autoSpaceDN/>
        <w:bidi w:val="0"/>
        <w:adjustRightInd/>
        <w:snapToGrid/>
        <w:spacing w:line="400" w:lineRule="exact"/>
        <w:ind w:firstLine="480"/>
        <w:textAlignment w:val="auto"/>
        <w:rPr>
          <w:rFonts w:hint="eastAsia"/>
          <w:color w:val="auto"/>
          <w:sz w:val="24"/>
          <w:szCs w:val="24"/>
          <w:highlight w:val="none"/>
        </w:rPr>
      </w:pPr>
      <w:r>
        <w:rPr>
          <w:rFonts w:hint="eastAsia" w:asciiTheme="majorEastAsia" w:hAnsiTheme="majorEastAsia" w:eastAsiaTheme="majorEastAsia" w:cstheme="majorEastAsia"/>
          <w:color w:val="auto"/>
          <w:sz w:val="24"/>
          <w:szCs w:val="24"/>
          <w:highlight w:val="none"/>
        </w:rPr>
        <w:t>因本合同或与本合同有关的一切事项发生争议，由双方友好协商解决。协商不成的，任何一方均可向项目所在地的人民法院提起诉讼。</w:t>
      </w:r>
    </w:p>
    <w:p>
      <w:pPr>
        <w:pStyle w:val="3"/>
        <w:pageBreakBefore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b w:val="0"/>
          <w:color w:val="auto"/>
          <w:kern w:val="2"/>
          <w:sz w:val="24"/>
          <w:szCs w:val="24"/>
          <w:highlight w:val="none"/>
          <w:lang w:val="en-US" w:eastAsia="zh-CN" w:bidi="ar-SA"/>
        </w:rPr>
      </w:pPr>
      <w:r>
        <w:rPr>
          <w:rFonts w:hint="eastAsia" w:asciiTheme="majorEastAsia" w:hAnsiTheme="majorEastAsia" w:eastAsiaTheme="majorEastAsia" w:cstheme="majorEastAsia"/>
          <w:color w:val="auto"/>
          <w:sz w:val="24"/>
          <w:szCs w:val="24"/>
          <w:highlight w:val="none"/>
        </w:rPr>
        <w:t>1</w:t>
      </w:r>
      <w:r>
        <w:rPr>
          <w:rFonts w:hint="eastAsia" w:asciiTheme="majorEastAsia" w:hAnsiTheme="majorEastAsia" w:eastAsiaTheme="majorEastAsia" w:cstheme="majorEastAsia"/>
          <w:color w:val="auto"/>
          <w:sz w:val="24"/>
          <w:szCs w:val="24"/>
          <w:highlight w:val="none"/>
          <w:lang w:val="en-US" w:eastAsia="zh-CN"/>
        </w:rPr>
        <w:t>7</w:t>
      </w:r>
      <w:r>
        <w:rPr>
          <w:rFonts w:hint="eastAsia" w:asciiTheme="majorEastAsia" w:hAnsiTheme="majorEastAsia" w:eastAsiaTheme="majorEastAsia" w:cstheme="majorEastAsia"/>
          <w:b w:val="0"/>
          <w:color w:val="auto"/>
          <w:kern w:val="2"/>
          <w:sz w:val="24"/>
          <w:szCs w:val="24"/>
          <w:highlight w:val="none"/>
          <w:lang w:val="en-US" w:eastAsia="zh-CN" w:bidi="ar-SA"/>
        </w:rPr>
        <w:t>.其他约定</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b w:val="0"/>
          <w:color w:val="auto"/>
          <w:kern w:val="2"/>
          <w:sz w:val="24"/>
          <w:szCs w:val="24"/>
          <w:highlight w:val="none"/>
          <w:lang w:val="en-US" w:eastAsia="zh-CN" w:bidi="ar-SA"/>
        </w:rPr>
      </w:pPr>
      <w:r>
        <w:rPr>
          <w:rFonts w:hint="eastAsia" w:asciiTheme="majorEastAsia" w:hAnsiTheme="majorEastAsia" w:eastAsiaTheme="majorEastAsia" w:cstheme="majorEastAsia"/>
          <w:b w:val="0"/>
          <w:color w:val="auto"/>
          <w:kern w:val="2"/>
          <w:sz w:val="24"/>
          <w:szCs w:val="24"/>
          <w:highlight w:val="none"/>
          <w:lang w:val="en-US" w:eastAsia="zh-CN" w:bidi="ar-SA"/>
        </w:rPr>
        <w:t>17.1本采购项目的招标文件、成交人的投标文件以及相关的澄清确认函（如果有的话）均为本合同不可分割的一部分，与本合同具有同等法律效力。</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b w:val="0"/>
          <w:color w:val="auto"/>
          <w:kern w:val="2"/>
          <w:sz w:val="24"/>
          <w:szCs w:val="24"/>
          <w:highlight w:val="none"/>
          <w:lang w:val="en-US" w:eastAsia="zh-CN" w:bidi="ar-SA"/>
        </w:rPr>
      </w:pPr>
      <w:r>
        <w:rPr>
          <w:rFonts w:hint="eastAsia" w:asciiTheme="majorEastAsia" w:hAnsiTheme="majorEastAsia" w:eastAsiaTheme="majorEastAsia" w:cstheme="majorEastAsia"/>
          <w:b w:val="0"/>
          <w:color w:val="auto"/>
          <w:kern w:val="2"/>
          <w:sz w:val="24"/>
          <w:szCs w:val="24"/>
          <w:highlight w:val="none"/>
          <w:lang w:val="en-US" w:eastAsia="zh-CN" w:bidi="ar-SA"/>
        </w:rPr>
        <w:t>17.2本合同未尽事宜，双方另行补充。</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b w:val="0"/>
          <w:color w:val="auto"/>
          <w:kern w:val="2"/>
          <w:sz w:val="24"/>
          <w:szCs w:val="24"/>
          <w:highlight w:val="none"/>
          <w:lang w:val="en-US" w:eastAsia="zh-CN" w:bidi="ar-SA"/>
        </w:rPr>
      </w:pPr>
      <w:r>
        <w:rPr>
          <w:rFonts w:hint="eastAsia" w:asciiTheme="majorEastAsia" w:hAnsiTheme="majorEastAsia" w:eastAsiaTheme="majorEastAsia" w:cstheme="majorEastAsia"/>
          <w:b w:val="0"/>
          <w:color w:val="auto"/>
          <w:kern w:val="2"/>
          <w:sz w:val="24"/>
          <w:szCs w:val="24"/>
          <w:highlight w:val="none"/>
          <w:lang w:val="en-US" w:eastAsia="zh-CN" w:bidi="ar-SA"/>
        </w:rPr>
        <w:t>17.3本合同一式陆份，经双方授权代表签字并盖章后生效。甲方、乙方各执壹份，送项目监督部门具有同等效力。</w:t>
      </w:r>
    </w:p>
    <w:p>
      <w:pPr>
        <w:pageBreakBefore w:val="0"/>
        <w:kinsoku/>
        <w:wordWrap/>
        <w:overflowPunct/>
        <w:topLinePunct w:val="0"/>
        <w:autoSpaceDE/>
        <w:autoSpaceDN/>
        <w:bidi w:val="0"/>
        <w:adjustRightInd/>
        <w:snapToGrid/>
        <w:spacing w:line="400" w:lineRule="exact"/>
        <w:ind w:firstLine="480"/>
        <w:textAlignment w:val="auto"/>
        <w:rPr>
          <w:rFonts w:hint="eastAsia" w:asciiTheme="majorEastAsia" w:hAnsiTheme="majorEastAsia" w:eastAsiaTheme="majorEastAsia" w:cstheme="majorEastAsia"/>
          <w:b w:val="0"/>
          <w:color w:val="auto"/>
          <w:kern w:val="2"/>
          <w:sz w:val="24"/>
          <w:szCs w:val="24"/>
          <w:highlight w:val="none"/>
          <w:lang w:val="en-US" w:eastAsia="zh-CN" w:bidi="ar-SA"/>
        </w:rPr>
      </w:pPr>
    </w:p>
    <w:p>
      <w:pPr>
        <w:pStyle w:val="2"/>
        <w:pageBreakBefore w:val="0"/>
        <w:kinsoku/>
        <w:wordWrap/>
        <w:overflowPunct/>
        <w:topLinePunct w:val="0"/>
        <w:autoSpaceDE/>
        <w:autoSpaceDN/>
        <w:bidi w:val="0"/>
        <w:adjustRightInd/>
        <w:snapToGrid/>
        <w:spacing w:after="0" w:line="400" w:lineRule="exact"/>
        <w:textAlignment w:val="auto"/>
        <w:rPr>
          <w:rFonts w:hint="eastAsia"/>
          <w:color w:val="auto"/>
          <w:sz w:val="24"/>
          <w:szCs w:val="24"/>
          <w:highlight w:val="none"/>
          <w:lang w:val="en-US" w:eastAsia="zh-CN"/>
        </w:rPr>
      </w:pPr>
    </w:p>
    <w:p>
      <w:pPr>
        <w:pStyle w:val="18"/>
        <w:pageBreakBefore w:val="0"/>
        <w:widowControl/>
        <w:kinsoku/>
        <w:wordWrap/>
        <w:overflowPunct/>
        <w:topLinePunct w:val="0"/>
        <w:autoSpaceDE/>
        <w:autoSpaceDN/>
        <w:bidi w:val="0"/>
        <w:adjustRightInd/>
        <w:snapToGrid/>
        <w:spacing w:line="400" w:lineRule="exact"/>
        <w:textAlignment w:val="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甲方：                乙方：</w:t>
      </w:r>
    </w:p>
    <w:p>
      <w:pPr>
        <w:pStyle w:val="18"/>
        <w:pageBreakBefore w:val="0"/>
        <w:widowControl/>
        <w:kinsoku/>
        <w:wordWrap/>
        <w:overflowPunct/>
        <w:topLinePunct w:val="0"/>
        <w:autoSpaceDE/>
        <w:autoSpaceDN/>
        <w:bidi w:val="0"/>
        <w:adjustRightInd/>
        <w:snapToGrid/>
        <w:spacing w:line="400" w:lineRule="exact"/>
        <w:textAlignment w:val="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住所：                住所：</w:t>
      </w:r>
    </w:p>
    <w:p>
      <w:pPr>
        <w:pStyle w:val="18"/>
        <w:pageBreakBefore w:val="0"/>
        <w:widowControl/>
        <w:kinsoku/>
        <w:wordWrap/>
        <w:overflowPunct/>
        <w:topLinePunct w:val="0"/>
        <w:autoSpaceDE/>
        <w:autoSpaceDN/>
        <w:bidi w:val="0"/>
        <w:adjustRightInd/>
        <w:snapToGrid/>
        <w:spacing w:line="400" w:lineRule="exact"/>
        <w:textAlignment w:val="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单位负责人：              单位负责人：</w:t>
      </w:r>
    </w:p>
    <w:p>
      <w:pPr>
        <w:pStyle w:val="18"/>
        <w:pageBreakBefore w:val="0"/>
        <w:widowControl/>
        <w:kinsoku/>
        <w:wordWrap/>
        <w:overflowPunct/>
        <w:topLinePunct w:val="0"/>
        <w:autoSpaceDE/>
        <w:autoSpaceDN/>
        <w:bidi w:val="0"/>
        <w:adjustRightInd/>
        <w:snapToGrid/>
        <w:spacing w:line="400" w:lineRule="exact"/>
        <w:textAlignment w:val="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委托代理人：             委托代理人：</w:t>
      </w:r>
    </w:p>
    <w:p>
      <w:pPr>
        <w:pStyle w:val="18"/>
        <w:pageBreakBefore w:val="0"/>
        <w:widowControl/>
        <w:kinsoku/>
        <w:wordWrap/>
        <w:overflowPunct/>
        <w:topLinePunct w:val="0"/>
        <w:autoSpaceDE/>
        <w:autoSpaceDN/>
        <w:bidi w:val="0"/>
        <w:adjustRightInd/>
        <w:snapToGrid/>
        <w:spacing w:line="400" w:lineRule="exact"/>
        <w:textAlignment w:val="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联系方法：              联系方法：</w:t>
      </w:r>
    </w:p>
    <w:p>
      <w:pPr>
        <w:pStyle w:val="18"/>
        <w:pageBreakBefore w:val="0"/>
        <w:widowControl/>
        <w:kinsoku/>
        <w:wordWrap/>
        <w:overflowPunct/>
        <w:topLinePunct w:val="0"/>
        <w:autoSpaceDE/>
        <w:autoSpaceDN/>
        <w:bidi w:val="0"/>
        <w:adjustRightInd/>
        <w:snapToGrid/>
        <w:spacing w:line="400" w:lineRule="exact"/>
        <w:textAlignment w:val="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开户银行：              开户银行：</w:t>
      </w:r>
    </w:p>
    <w:p>
      <w:pPr>
        <w:pStyle w:val="18"/>
        <w:pageBreakBefore w:val="0"/>
        <w:widowControl/>
        <w:kinsoku/>
        <w:wordWrap/>
        <w:overflowPunct/>
        <w:topLinePunct w:val="0"/>
        <w:autoSpaceDE/>
        <w:autoSpaceDN/>
        <w:bidi w:val="0"/>
        <w:adjustRightInd/>
        <w:snapToGrid/>
        <w:spacing w:line="400" w:lineRule="exact"/>
        <w:textAlignment w:val="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账号：                  账号：</w:t>
      </w:r>
    </w:p>
    <w:p>
      <w:pPr>
        <w:pStyle w:val="20"/>
        <w:ind w:left="420" w:firstLine="482"/>
        <w:jc w:val="center"/>
        <w:rPr>
          <w:rStyle w:val="25"/>
          <w:rFonts w:hint="eastAsia" w:asciiTheme="majorEastAsia" w:hAnsiTheme="majorEastAsia" w:eastAsiaTheme="majorEastAsia" w:cstheme="majorEastAsia"/>
          <w:color w:val="auto"/>
          <w:sz w:val="24"/>
          <w:szCs w:val="24"/>
          <w:highlight w:val="none"/>
        </w:rPr>
      </w:pPr>
    </w:p>
    <w:p>
      <w:pPr>
        <w:pStyle w:val="20"/>
        <w:ind w:left="420" w:firstLine="482"/>
        <w:jc w:val="center"/>
        <w:rPr>
          <w:rStyle w:val="25"/>
          <w:rFonts w:hint="eastAsia" w:asciiTheme="majorEastAsia" w:hAnsiTheme="majorEastAsia" w:eastAsiaTheme="majorEastAsia" w:cstheme="majorEastAsia"/>
          <w:color w:val="auto"/>
          <w:sz w:val="24"/>
          <w:szCs w:val="24"/>
          <w:highlight w:val="none"/>
        </w:rPr>
      </w:pPr>
    </w:p>
    <w:p>
      <w:pPr>
        <w:pStyle w:val="20"/>
        <w:ind w:left="420" w:firstLine="482"/>
        <w:jc w:val="center"/>
        <w:rPr>
          <w:rStyle w:val="25"/>
          <w:rFonts w:hint="eastAsia" w:asciiTheme="majorEastAsia" w:hAnsiTheme="majorEastAsia" w:eastAsiaTheme="majorEastAsia" w:cstheme="majorEastAsia"/>
          <w:color w:val="auto"/>
          <w:sz w:val="24"/>
          <w:szCs w:val="24"/>
          <w:highlight w:val="none"/>
        </w:rPr>
      </w:pPr>
    </w:p>
    <w:p>
      <w:pPr>
        <w:pStyle w:val="20"/>
        <w:ind w:left="420" w:firstLine="482"/>
        <w:jc w:val="center"/>
        <w:rPr>
          <w:rStyle w:val="25"/>
          <w:rFonts w:hint="eastAsia" w:asciiTheme="majorEastAsia" w:hAnsiTheme="majorEastAsia" w:eastAsiaTheme="majorEastAsia" w:cstheme="majorEastAsia"/>
          <w:color w:val="auto"/>
          <w:sz w:val="24"/>
          <w:szCs w:val="24"/>
          <w:highlight w:val="none"/>
        </w:rPr>
      </w:pPr>
    </w:p>
    <w:p>
      <w:pPr>
        <w:pStyle w:val="20"/>
        <w:ind w:left="420" w:firstLine="482"/>
        <w:jc w:val="center"/>
        <w:rPr>
          <w:rStyle w:val="25"/>
          <w:rFonts w:hint="eastAsia" w:asciiTheme="majorEastAsia" w:hAnsiTheme="majorEastAsia" w:eastAsiaTheme="majorEastAsia" w:cstheme="majorEastAsia"/>
          <w:color w:val="auto"/>
          <w:sz w:val="24"/>
          <w:szCs w:val="24"/>
          <w:highlight w:val="none"/>
        </w:rPr>
      </w:pPr>
    </w:p>
    <w:p>
      <w:pPr>
        <w:pStyle w:val="20"/>
        <w:ind w:left="420" w:firstLine="482"/>
        <w:jc w:val="center"/>
        <w:rPr>
          <w:rStyle w:val="25"/>
          <w:rFonts w:hint="eastAsia" w:asciiTheme="majorEastAsia" w:hAnsiTheme="majorEastAsia" w:eastAsiaTheme="majorEastAsia" w:cstheme="majorEastAsia"/>
          <w:color w:val="auto"/>
          <w:sz w:val="24"/>
          <w:szCs w:val="24"/>
          <w:highlight w:val="none"/>
        </w:rPr>
      </w:pPr>
    </w:p>
    <w:p>
      <w:pPr>
        <w:pStyle w:val="20"/>
        <w:ind w:left="420" w:firstLine="482"/>
        <w:jc w:val="center"/>
        <w:rPr>
          <w:rStyle w:val="25"/>
          <w:rFonts w:hint="eastAsia" w:asciiTheme="majorEastAsia" w:hAnsiTheme="majorEastAsia" w:eastAsiaTheme="majorEastAsia" w:cstheme="majorEastAsia"/>
          <w:color w:val="auto"/>
          <w:sz w:val="24"/>
          <w:szCs w:val="24"/>
          <w:highlight w:val="none"/>
        </w:rPr>
      </w:pPr>
    </w:p>
    <w:p>
      <w:pPr>
        <w:pStyle w:val="20"/>
        <w:ind w:left="420" w:firstLine="482"/>
        <w:jc w:val="center"/>
        <w:rPr>
          <w:rStyle w:val="25"/>
          <w:rFonts w:hint="eastAsia" w:asciiTheme="majorEastAsia" w:hAnsiTheme="majorEastAsia" w:eastAsiaTheme="majorEastAsia" w:cstheme="majorEastAsia"/>
          <w:color w:val="auto"/>
          <w:sz w:val="24"/>
          <w:szCs w:val="24"/>
          <w:highlight w:val="none"/>
        </w:rPr>
      </w:pPr>
    </w:p>
    <w:p>
      <w:pPr>
        <w:pStyle w:val="20"/>
        <w:ind w:left="420" w:firstLine="482"/>
        <w:jc w:val="center"/>
        <w:rPr>
          <w:rStyle w:val="25"/>
          <w:rFonts w:hint="eastAsia" w:asciiTheme="majorEastAsia" w:hAnsiTheme="majorEastAsia" w:eastAsiaTheme="majorEastAsia" w:cstheme="majorEastAsia"/>
          <w:color w:val="auto"/>
          <w:sz w:val="24"/>
          <w:szCs w:val="24"/>
          <w:highlight w:val="none"/>
        </w:rPr>
      </w:pPr>
    </w:p>
    <w:p>
      <w:pPr>
        <w:pStyle w:val="20"/>
        <w:ind w:left="420" w:firstLine="482"/>
        <w:jc w:val="center"/>
        <w:rPr>
          <w:rStyle w:val="25"/>
          <w:rFonts w:hint="eastAsia" w:asciiTheme="majorEastAsia" w:hAnsiTheme="majorEastAsia" w:eastAsiaTheme="majorEastAsia" w:cstheme="majorEastAsia"/>
          <w:color w:val="auto"/>
          <w:sz w:val="24"/>
          <w:szCs w:val="24"/>
          <w:highlight w:val="none"/>
        </w:rPr>
      </w:pPr>
    </w:p>
    <w:p>
      <w:pPr>
        <w:pStyle w:val="20"/>
        <w:ind w:left="420" w:firstLine="482"/>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sz w:val="31"/>
          <w:szCs w:val="31"/>
          <w:highlight w:val="none"/>
        </w:rPr>
        <w:t>第七章   投标文件格式</w:t>
      </w:r>
    </w:p>
    <w:p>
      <w:pPr>
        <w:pStyle w:val="18"/>
        <w:widowControl/>
        <w:spacing w:after="150"/>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highlight w:val="none"/>
        </w:rPr>
        <w:t>编制说明</w:t>
      </w:r>
    </w:p>
    <w:p>
      <w:pPr>
        <w:pStyle w:val="18"/>
        <w:widowControl/>
        <w:spacing w:after="15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1、除招标文件另有规定外，本章中：</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1.1涉及投标人的</w:t>
      </w:r>
      <w:r>
        <w:rPr>
          <w:rStyle w:val="25"/>
          <w:rFonts w:hint="eastAsia" w:asciiTheme="majorEastAsia" w:hAnsiTheme="majorEastAsia" w:eastAsiaTheme="majorEastAsia" w:cstheme="majorEastAsia"/>
          <w:color w:val="auto"/>
          <w:highlight w:val="none"/>
        </w:rPr>
        <w:t>“全称”</w:t>
      </w:r>
      <w:r>
        <w:rPr>
          <w:rFonts w:hint="eastAsia" w:asciiTheme="majorEastAsia" w:hAnsiTheme="majorEastAsia" w:eastAsiaTheme="majorEastAsia" w:cstheme="majorEastAsia"/>
          <w:color w:val="auto"/>
          <w:highlight w:val="none"/>
        </w:rPr>
        <w:t>：</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（1）不接受联合体投标的，指</w:t>
      </w:r>
      <w:r>
        <w:rPr>
          <w:rStyle w:val="25"/>
          <w:rFonts w:hint="eastAsia" w:asciiTheme="majorEastAsia" w:hAnsiTheme="majorEastAsia" w:eastAsiaTheme="majorEastAsia" w:cstheme="majorEastAsia"/>
          <w:color w:val="auto"/>
          <w:highlight w:val="none"/>
        </w:rPr>
        <w:t>投标人的全称</w:t>
      </w:r>
      <w:r>
        <w:rPr>
          <w:rFonts w:hint="eastAsia" w:asciiTheme="majorEastAsia" w:hAnsiTheme="majorEastAsia" w:eastAsiaTheme="majorEastAsia" w:cstheme="majorEastAsia"/>
          <w:color w:val="auto"/>
          <w:highlight w:val="none"/>
        </w:rPr>
        <w:t>。</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（2）接受联合体投标且投标人为联合体的，指</w:t>
      </w:r>
      <w:r>
        <w:rPr>
          <w:rStyle w:val="25"/>
          <w:rFonts w:hint="eastAsia" w:asciiTheme="majorEastAsia" w:hAnsiTheme="majorEastAsia" w:eastAsiaTheme="majorEastAsia" w:cstheme="majorEastAsia"/>
          <w:color w:val="auto"/>
          <w:highlight w:val="none"/>
        </w:rPr>
        <w:t>牵头方的全称</w:t>
      </w:r>
      <w:r>
        <w:rPr>
          <w:rFonts w:hint="eastAsia" w:asciiTheme="majorEastAsia" w:hAnsiTheme="majorEastAsia" w:eastAsiaTheme="majorEastAsia" w:cstheme="majorEastAsia"/>
          <w:color w:val="auto"/>
          <w:highlight w:val="none"/>
        </w:rPr>
        <w:t>并加注</w:t>
      </w:r>
      <w:r>
        <w:rPr>
          <w:rStyle w:val="25"/>
          <w:rFonts w:hint="eastAsia" w:asciiTheme="majorEastAsia" w:hAnsiTheme="majorEastAsia" w:eastAsiaTheme="majorEastAsia" w:cstheme="majorEastAsia"/>
          <w:color w:val="auto"/>
          <w:highlight w:val="none"/>
        </w:rPr>
        <w:t>（联合体牵头方）</w:t>
      </w:r>
      <w:r>
        <w:rPr>
          <w:rFonts w:hint="eastAsia" w:asciiTheme="majorEastAsia" w:hAnsiTheme="majorEastAsia" w:eastAsiaTheme="majorEastAsia" w:cstheme="majorEastAsia"/>
          <w:color w:val="auto"/>
          <w:highlight w:val="none"/>
        </w:rPr>
        <w:t>，即应表述为：</w:t>
      </w:r>
      <w:r>
        <w:rPr>
          <w:rStyle w:val="25"/>
          <w:rFonts w:hint="eastAsia" w:asciiTheme="majorEastAsia" w:hAnsiTheme="majorEastAsia" w:eastAsiaTheme="majorEastAsia" w:cstheme="majorEastAsia"/>
          <w:color w:val="auto"/>
          <w:highlight w:val="none"/>
        </w:rPr>
        <w:t>“牵头方的全称（联合体牵头方）”</w:t>
      </w:r>
      <w:r>
        <w:rPr>
          <w:rFonts w:hint="eastAsia" w:asciiTheme="majorEastAsia" w:hAnsiTheme="majorEastAsia" w:eastAsiaTheme="majorEastAsia" w:cstheme="majorEastAsia"/>
          <w:color w:val="auto"/>
          <w:highlight w:val="none"/>
        </w:rPr>
        <w:t>。</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1.2涉及投标人</w:t>
      </w:r>
      <w:r>
        <w:rPr>
          <w:rStyle w:val="25"/>
          <w:rFonts w:hint="eastAsia" w:asciiTheme="majorEastAsia" w:hAnsiTheme="majorEastAsia" w:eastAsiaTheme="majorEastAsia" w:cstheme="majorEastAsia"/>
          <w:color w:val="auto"/>
          <w:highlight w:val="none"/>
        </w:rPr>
        <w:t>“加盖单位公章”</w:t>
      </w:r>
      <w:r>
        <w:rPr>
          <w:rFonts w:hint="eastAsia" w:asciiTheme="majorEastAsia" w:hAnsiTheme="majorEastAsia" w:eastAsiaTheme="majorEastAsia" w:cstheme="majorEastAsia"/>
          <w:color w:val="auto"/>
          <w:highlight w:val="none"/>
        </w:rPr>
        <w:t>：</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（1）不接受联合体投标的，指</w:t>
      </w:r>
      <w:r>
        <w:rPr>
          <w:rStyle w:val="25"/>
          <w:rFonts w:hint="eastAsia" w:asciiTheme="majorEastAsia" w:hAnsiTheme="majorEastAsia" w:eastAsiaTheme="majorEastAsia" w:cstheme="majorEastAsia"/>
          <w:color w:val="auto"/>
          <w:highlight w:val="none"/>
        </w:rPr>
        <w:t>加盖投标人的单位公章</w:t>
      </w:r>
      <w:r>
        <w:rPr>
          <w:rFonts w:hint="eastAsia" w:asciiTheme="majorEastAsia" w:hAnsiTheme="majorEastAsia" w:eastAsiaTheme="majorEastAsia" w:cstheme="majorEastAsia"/>
          <w:color w:val="auto"/>
          <w:highlight w:val="none"/>
        </w:rPr>
        <w:t>。</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（2）接受联合体投标且投标人为联合体的，指</w:t>
      </w:r>
      <w:r>
        <w:rPr>
          <w:rStyle w:val="25"/>
          <w:rFonts w:hint="eastAsia" w:asciiTheme="majorEastAsia" w:hAnsiTheme="majorEastAsia" w:eastAsiaTheme="majorEastAsia" w:cstheme="majorEastAsia"/>
          <w:color w:val="auto"/>
          <w:highlight w:val="none"/>
        </w:rPr>
        <w:t>加盖联合体牵头方的单位公章</w:t>
      </w:r>
      <w:r>
        <w:rPr>
          <w:rFonts w:hint="eastAsia" w:asciiTheme="majorEastAsia" w:hAnsiTheme="majorEastAsia" w:eastAsiaTheme="majorEastAsia" w:cstheme="majorEastAsia"/>
          <w:color w:val="auto"/>
          <w:highlight w:val="none"/>
        </w:rPr>
        <w:t>。</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1.3涉及</w:t>
      </w:r>
      <w:r>
        <w:rPr>
          <w:rStyle w:val="25"/>
          <w:rFonts w:hint="eastAsia" w:asciiTheme="majorEastAsia" w:hAnsiTheme="majorEastAsia" w:eastAsiaTheme="majorEastAsia" w:cstheme="majorEastAsia"/>
          <w:color w:val="auto"/>
          <w:highlight w:val="none"/>
        </w:rPr>
        <w:t>“投标人代表签字”</w:t>
      </w:r>
      <w:r>
        <w:rPr>
          <w:rFonts w:hint="eastAsia" w:asciiTheme="majorEastAsia" w:hAnsiTheme="majorEastAsia" w:eastAsiaTheme="majorEastAsia" w:cstheme="majorEastAsia"/>
          <w:color w:val="auto"/>
          <w:highlight w:val="none"/>
        </w:rPr>
        <w:t>：</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（1）不接受联合体投标的，指由</w:t>
      </w:r>
      <w:r>
        <w:rPr>
          <w:rStyle w:val="25"/>
          <w:rFonts w:hint="eastAsia" w:asciiTheme="majorEastAsia" w:hAnsiTheme="majorEastAsia" w:eastAsiaTheme="majorEastAsia" w:cstheme="majorEastAsia"/>
          <w:color w:val="auto"/>
          <w:highlight w:val="none"/>
        </w:rPr>
        <w:t>投标人的单位负责人或其授权的委托代理人签字</w:t>
      </w:r>
      <w:r>
        <w:rPr>
          <w:rFonts w:hint="eastAsia" w:asciiTheme="majorEastAsia" w:hAnsiTheme="majorEastAsia" w:eastAsiaTheme="majorEastAsia" w:cstheme="majorEastAsia"/>
          <w:color w:val="auto"/>
          <w:highlight w:val="none"/>
        </w:rPr>
        <w:t>，由委托代理人签字的，应提供“单位负责人授权书”。</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（2）接受联合体投标且投标人为联合体的，指由</w:t>
      </w:r>
      <w:r>
        <w:rPr>
          <w:rStyle w:val="25"/>
          <w:rFonts w:hint="eastAsia" w:asciiTheme="majorEastAsia" w:hAnsiTheme="majorEastAsia" w:eastAsiaTheme="majorEastAsia" w:cstheme="majorEastAsia"/>
          <w:color w:val="auto"/>
          <w:highlight w:val="none"/>
        </w:rPr>
        <w:t>联合体牵头方的单位负责人或其授权的委托代理人签字</w:t>
      </w:r>
      <w:r>
        <w:rPr>
          <w:rFonts w:hint="eastAsia" w:asciiTheme="majorEastAsia" w:hAnsiTheme="majorEastAsia" w:eastAsiaTheme="majorEastAsia" w:cstheme="majorEastAsia"/>
          <w:color w:val="auto"/>
          <w:highlight w:val="none"/>
        </w:rPr>
        <w:t>，由委托代理人签字的，应提供“单位负责人授权书”。</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1.4</w:t>
      </w:r>
      <w:r>
        <w:rPr>
          <w:rStyle w:val="25"/>
          <w:rFonts w:hint="eastAsia" w:asciiTheme="majorEastAsia" w:hAnsiTheme="majorEastAsia" w:eastAsiaTheme="majorEastAsia" w:cstheme="majorEastAsia"/>
          <w:color w:val="auto"/>
          <w:highlight w:val="none"/>
        </w:rPr>
        <w:t>“其他组织”</w:t>
      </w:r>
      <w:r>
        <w:rPr>
          <w:rFonts w:hint="eastAsia" w:asciiTheme="majorEastAsia" w:hAnsiTheme="majorEastAsia" w:eastAsiaTheme="majorEastAsia" w:cstheme="majorEastAsia"/>
          <w:color w:val="auto"/>
          <w:highlight w:val="none"/>
        </w:rPr>
        <w:t>指合伙企业、非企业专业服务机构、个体工商户、农村承包经营户等。</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1.5</w:t>
      </w:r>
      <w:r>
        <w:rPr>
          <w:rStyle w:val="25"/>
          <w:rFonts w:hint="eastAsia" w:asciiTheme="majorEastAsia" w:hAnsiTheme="majorEastAsia" w:eastAsiaTheme="majorEastAsia" w:cstheme="majorEastAsia"/>
          <w:color w:val="auto"/>
          <w:highlight w:val="none"/>
        </w:rPr>
        <w:t>“自然人”</w:t>
      </w:r>
      <w:r>
        <w:rPr>
          <w:rFonts w:hint="eastAsia" w:asciiTheme="majorEastAsia" w:hAnsiTheme="majorEastAsia" w:eastAsiaTheme="majorEastAsia" w:cstheme="majorEastAsia"/>
          <w:color w:val="auto"/>
          <w:highlight w:val="none"/>
        </w:rPr>
        <w:t>指具有完全民事行为能力、能够承担民事责任和义务的中国公民。</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2、除招标文件另有规定外，本章中</w:t>
      </w:r>
      <w:r>
        <w:rPr>
          <w:rStyle w:val="25"/>
          <w:rFonts w:hint="eastAsia" w:asciiTheme="majorEastAsia" w:hAnsiTheme="majorEastAsia" w:eastAsiaTheme="majorEastAsia" w:cstheme="majorEastAsia"/>
          <w:color w:val="auto"/>
          <w:highlight w:val="none"/>
        </w:rPr>
        <w:t>“投标人的资格及资信证明文件”</w:t>
      </w:r>
      <w:r>
        <w:rPr>
          <w:rFonts w:hint="eastAsia" w:asciiTheme="majorEastAsia" w:hAnsiTheme="majorEastAsia" w:eastAsiaTheme="majorEastAsia" w:cstheme="majorEastAsia"/>
          <w:color w:val="auto"/>
          <w:highlight w:val="none"/>
        </w:rPr>
        <w:t>：</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2.1投标人应按照招标文件第四章第1.3条第（2）款规定及本章规定进行编制，如有必要，可增加附页，附页作为资格及资信文件的组成部分。</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2.2接受联合体投标且投标人为联合体的，联合体中的各方均应按照本章第2.1条规定提交相应的全部资料。</w:t>
      </w:r>
    </w:p>
    <w:p>
      <w:pPr>
        <w:pStyle w:val="18"/>
        <w:widowControl/>
        <w:spacing w:after="150"/>
        <w:ind w:firstLine="48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3、投标人对投标文件的索引应编制页码。</w:t>
      </w:r>
    </w:p>
    <w:p>
      <w:pPr>
        <w:widowControl/>
        <w:spacing w:before="100" w:beforeAutospacing="1" w:after="100" w:afterAutospacing="1"/>
        <w:ind w:firstLine="48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4、本章提供格式仅供参考，投标人应根据自身实际情况制作投标文件。</w:t>
      </w:r>
    </w:p>
    <w:bookmarkEnd w:id="2"/>
    <w:bookmarkEnd w:id="3"/>
    <w:bookmarkEnd w:id="4"/>
    <w:bookmarkEnd w:id="5"/>
    <w:bookmarkEnd w:id="6"/>
    <w:bookmarkEnd w:id="7"/>
    <w:bookmarkEnd w:id="8"/>
    <w:bookmarkEnd w:id="9"/>
    <w:bookmarkEnd w:id="10"/>
    <w:bookmarkEnd w:id="11"/>
    <w:p>
      <w:pPr>
        <w:widowControl/>
        <w:spacing w:before="75" w:after="75"/>
        <w:ind w:firstLine="4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 </w:t>
      </w:r>
      <w:r>
        <w:rPr>
          <w:rFonts w:hint="eastAsia" w:asciiTheme="majorEastAsia" w:hAnsiTheme="majorEastAsia" w:eastAsiaTheme="majorEastAsia" w:cstheme="majorEastAsia"/>
          <w:b/>
          <w:bCs/>
          <w:color w:val="auto"/>
          <w:kern w:val="0"/>
          <w:sz w:val="29"/>
          <w:highlight w:val="none"/>
        </w:rPr>
        <w:t>封面格式</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36"/>
          <w:szCs w:val="36"/>
          <w:highlight w:val="none"/>
        </w:rPr>
        <w:t> </w:t>
      </w:r>
    </w:p>
    <w:p>
      <w:pPr>
        <w:widowControl/>
        <w:spacing w:before="75" w:after="75" w:line="360" w:lineRule="auto"/>
        <w:jc w:val="center"/>
        <w:rPr>
          <w:rFonts w:asciiTheme="majorEastAsia" w:hAnsiTheme="majorEastAsia" w:eastAsiaTheme="majorEastAsia" w:cstheme="majorEastAsia"/>
          <w:color w:val="auto"/>
          <w:kern w:val="0"/>
          <w:sz w:val="52"/>
          <w:szCs w:val="52"/>
          <w:highlight w:val="none"/>
        </w:rPr>
      </w:pPr>
      <w:r>
        <w:rPr>
          <w:rFonts w:hint="eastAsia" w:asciiTheme="majorEastAsia" w:hAnsiTheme="majorEastAsia" w:eastAsiaTheme="majorEastAsia" w:cstheme="majorEastAsia"/>
          <w:b/>
          <w:bCs/>
          <w:color w:val="auto"/>
          <w:kern w:val="0"/>
          <w:sz w:val="52"/>
          <w:szCs w:val="52"/>
          <w:highlight w:val="none"/>
        </w:rPr>
        <w:t>投标文件</w:t>
      </w:r>
    </w:p>
    <w:p>
      <w:pPr>
        <w:widowControl/>
        <w:spacing w:before="75" w:after="75" w:line="360" w:lineRule="auto"/>
        <w:jc w:val="center"/>
        <w:rPr>
          <w:rFonts w:asciiTheme="majorEastAsia" w:hAnsiTheme="majorEastAsia" w:eastAsiaTheme="majorEastAsia" w:cstheme="majorEastAsia"/>
          <w:color w:val="auto"/>
          <w:kern w:val="0"/>
          <w:sz w:val="52"/>
          <w:szCs w:val="52"/>
          <w:highlight w:val="none"/>
        </w:rPr>
      </w:pPr>
      <w:r>
        <w:rPr>
          <w:rFonts w:hint="eastAsia" w:asciiTheme="majorEastAsia" w:hAnsiTheme="majorEastAsia" w:eastAsiaTheme="majorEastAsia" w:cstheme="majorEastAsia"/>
          <w:b/>
          <w:bCs/>
          <w:color w:val="auto"/>
          <w:kern w:val="0"/>
          <w:sz w:val="52"/>
          <w:szCs w:val="52"/>
          <w:highlight w:val="none"/>
        </w:rPr>
        <w:t>（资格及资信证明部分）</w:t>
      </w:r>
    </w:p>
    <w:p>
      <w:pPr>
        <w:widowControl/>
        <w:spacing w:before="75" w:after="75" w:line="360" w:lineRule="auto"/>
        <w:jc w:val="center"/>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b/>
          <w:bCs/>
          <w:color w:val="auto"/>
          <w:kern w:val="0"/>
          <w:sz w:val="32"/>
          <w:szCs w:val="32"/>
          <w:highlight w:val="none"/>
        </w:rPr>
        <w:t>（填写正本或副本）</w:t>
      </w:r>
    </w:p>
    <w:p>
      <w:pPr>
        <w:widowControl/>
        <w:spacing w:before="75" w:after="75"/>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w:t>
      </w:r>
    </w:p>
    <w:p>
      <w:pPr>
        <w:widowControl/>
        <w:spacing w:before="75" w:after="75" w:line="360" w:lineRule="auto"/>
        <w:ind w:firstLine="1920"/>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b/>
          <w:bCs/>
          <w:color w:val="auto"/>
          <w:kern w:val="0"/>
          <w:sz w:val="32"/>
          <w:szCs w:val="32"/>
          <w:highlight w:val="none"/>
        </w:rPr>
        <w:t>项目名称：（由投标人填写）</w:t>
      </w:r>
    </w:p>
    <w:p>
      <w:pPr>
        <w:widowControl/>
        <w:spacing w:before="75" w:after="75" w:line="360" w:lineRule="auto"/>
        <w:ind w:firstLine="1920"/>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b/>
          <w:bCs/>
          <w:color w:val="auto"/>
          <w:kern w:val="0"/>
          <w:sz w:val="32"/>
          <w:szCs w:val="32"/>
          <w:highlight w:val="none"/>
          <w:lang w:eastAsia="zh-CN"/>
        </w:rPr>
        <w:t>项目编号</w:t>
      </w:r>
      <w:r>
        <w:rPr>
          <w:rFonts w:hint="eastAsia" w:asciiTheme="majorEastAsia" w:hAnsiTheme="majorEastAsia" w:eastAsiaTheme="majorEastAsia" w:cstheme="majorEastAsia"/>
          <w:b/>
          <w:bCs/>
          <w:color w:val="auto"/>
          <w:kern w:val="0"/>
          <w:sz w:val="32"/>
          <w:szCs w:val="32"/>
          <w:highlight w:val="none"/>
        </w:rPr>
        <w:t>：（由投标人填写）</w:t>
      </w:r>
    </w:p>
    <w:p>
      <w:pPr>
        <w:widowControl/>
        <w:spacing w:before="75" w:after="75" w:line="360" w:lineRule="auto"/>
        <w:ind w:firstLine="1920"/>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b/>
          <w:bCs/>
          <w:color w:val="auto"/>
          <w:kern w:val="0"/>
          <w:sz w:val="32"/>
          <w:szCs w:val="32"/>
          <w:highlight w:val="none"/>
        </w:rPr>
        <w:t>所投合同包：（由投标人填写）</w:t>
      </w:r>
    </w:p>
    <w:p>
      <w:pPr>
        <w:widowControl/>
        <w:spacing w:before="75" w:after="75"/>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w:t>
      </w:r>
    </w:p>
    <w:p>
      <w:pPr>
        <w:widowControl/>
        <w:spacing w:before="75" w:after="75"/>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w:t>
      </w:r>
    </w:p>
    <w:p>
      <w:pPr>
        <w:widowControl/>
        <w:spacing w:before="75" w:after="75"/>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w:t>
      </w:r>
    </w:p>
    <w:p>
      <w:pPr>
        <w:widowControl/>
        <w:spacing w:before="75" w:after="75"/>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w:t>
      </w:r>
    </w:p>
    <w:p>
      <w:pPr>
        <w:widowControl/>
        <w:spacing w:before="75" w:after="75" w:line="360" w:lineRule="auto"/>
        <w:jc w:val="center"/>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b/>
          <w:bCs/>
          <w:color w:val="auto"/>
          <w:kern w:val="0"/>
          <w:sz w:val="32"/>
          <w:szCs w:val="32"/>
          <w:highlight w:val="none"/>
        </w:rPr>
        <w:t>投标人：（填写“全称”）</w:t>
      </w:r>
    </w:p>
    <w:p>
      <w:pPr>
        <w:widowControl/>
        <w:spacing w:before="75" w:after="75" w:line="360" w:lineRule="auto"/>
        <w:jc w:val="center"/>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b/>
          <w:bCs/>
          <w:color w:val="auto"/>
          <w:kern w:val="0"/>
          <w:sz w:val="32"/>
          <w:szCs w:val="32"/>
          <w:highlight w:val="none"/>
        </w:rPr>
        <w:t>（由投标人填写）年（由投标人填写）月</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Cs w:val="21"/>
          <w:highlight w:val="none"/>
        </w:rPr>
        <w:t> </w:t>
      </w:r>
    </w:p>
    <w:p>
      <w:pPr>
        <w:widowControl/>
        <w:spacing w:before="75" w:after="75"/>
        <w:jc w:val="left"/>
        <w:rPr>
          <w:rFonts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color w:val="auto"/>
          <w:kern w:val="0"/>
          <w:szCs w:val="21"/>
          <w:highlight w:val="none"/>
        </w:rPr>
        <w:t> </w:t>
      </w: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center"/>
        <w:rPr>
          <w:rFonts w:asciiTheme="majorEastAsia" w:hAnsiTheme="majorEastAsia" w:eastAsiaTheme="majorEastAsia" w:cstheme="majorEastAsia"/>
          <w:color w:val="auto"/>
          <w:kern w:val="0"/>
          <w:sz w:val="30"/>
          <w:szCs w:val="30"/>
          <w:highlight w:val="none"/>
        </w:rPr>
      </w:pPr>
      <w:r>
        <w:rPr>
          <w:rFonts w:hint="eastAsia" w:asciiTheme="majorEastAsia" w:hAnsiTheme="majorEastAsia" w:eastAsiaTheme="majorEastAsia" w:cstheme="majorEastAsia"/>
          <w:color w:val="auto"/>
          <w:kern w:val="0"/>
          <w:sz w:val="30"/>
          <w:szCs w:val="30"/>
          <w:highlight w:val="none"/>
        </w:rPr>
        <w:br w:type="textWrapping"/>
      </w:r>
      <w:r>
        <w:rPr>
          <w:rFonts w:hint="eastAsia" w:asciiTheme="majorEastAsia" w:hAnsiTheme="majorEastAsia" w:eastAsiaTheme="majorEastAsia" w:cstheme="majorEastAsia"/>
          <w:b/>
          <w:bCs/>
          <w:color w:val="auto"/>
          <w:kern w:val="0"/>
          <w:sz w:val="30"/>
          <w:szCs w:val="30"/>
          <w:highlight w:val="none"/>
        </w:rPr>
        <w:t>索 引</w:t>
      </w:r>
    </w:p>
    <w:p>
      <w:pPr>
        <w:widowControl/>
        <w:spacing w:before="75" w:after="75" w:line="360" w:lineRule="auto"/>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9"/>
          <w:szCs w:val="29"/>
          <w:highlight w:val="none"/>
        </w:rPr>
        <w:t>一、投标函</w:t>
      </w:r>
    </w:p>
    <w:p>
      <w:pPr>
        <w:widowControl/>
        <w:spacing w:before="75" w:after="75" w:line="360" w:lineRule="auto"/>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9"/>
          <w:szCs w:val="29"/>
          <w:highlight w:val="none"/>
        </w:rPr>
        <w:t>二、投标人的资格及资信证明文件</w:t>
      </w:r>
    </w:p>
    <w:p>
      <w:pPr>
        <w:widowControl/>
        <w:spacing w:before="75" w:after="75" w:line="360" w:lineRule="auto"/>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9"/>
          <w:szCs w:val="29"/>
          <w:highlight w:val="none"/>
        </w:rPr>
        <w:t>三、投标保证金</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Cs w:val="21"/>
          <w:highlight w:val="none"/>
        </w:rPr>
        <w:t> </w:t>
      </w: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100" w:beforeAutospacing="1" w:after="100" w:afterAutospacing="1"/>
        <w:jc w:val="left"/>
        <w:rPr>
          <w:rFonts w:ascii="宋体" w:hAnsi="宋体" w:eastAsia="宋体" w:cs="宋体"/>
          <w:color w:val="auto"/>
          <w:kern w:val="0"/>
          <w:sz w:val="24"/>
          <w:szCs w:val="24"/>
          <w:highlight w:val="none"/>
        </w:rPr>
      </w:pP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※注意</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资格及资信证明部分中不得出现报价部分的全部或部分的投标报价信息（或组成资料），否则</w:t>
      </w:r>
      <w:r>
        <w:rPr>
          <w:rFonts w:ascii="宋体" w:hAnsi="宋体" w:eastAsia="宋体" w:cs="宋体"/>
          <w:b/>
          <w:bCs/>
          <w:color w:val="auto"/>
          <w:kern w:val="0"/>
          <w:szCs w:val="21"/>
          <w:highlight w:val="none"/>
        </w:rPr>
        <w:t>资格审查不合格</w:t>
      </w:r>
      <w:r>
        <w:rPr>
          <w:rFonts w:ascii="宋体" w:hAnsi="宋体" w:eastAsia="宋体" w:cs="宋体"/>
          <w:color w:val="auto"/>
          <w:kern w:val="0"/>
          <w:szCs w:val="21"/>
          <w:highlight w:val="none"/>
        </w:rPr>
        <w:t>。（联合体协议及分包意向协议中的比例规定，不适用本条款）</w:t>
      </w: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left"/>
        <w:rPr>
          <w:rFonts w:asciiTheme="majorEastAsia" w:hAnsiTheme="majorEastAsia" w:eastAsiaTheme="majorEastAsia" w:cstheme="majorEastAsia"/>
          <w:color w:val="auto"/>
          <w:kern w:val="0"/>
          <w:szCs w:val="21"/>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bCs/>
          <w:color w:val="auto"/>
          <w:kern w:val="0"/>
          <w:sz w:val="24"/>
          <w:highlight w:val="none"/>
        </w:rPr>
        <w:t>一、投标函</w:t>
      </w:r>
    </w:p>
    <w:p>
      <w:pPr>
        <w:widowControl/>
        <w:spacing w:before="100" w:beforeAutospacing="1" w:after="100" w:afterAutospacing="1"/>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致：</w:t>
      </w:r>
      <w:r>
        <w:rPr>
          <w:rFonts w:hint="eastAsia" w:asciiTheme="majorEastAsia" w:hAnsiTheme="majorEastAsia" w:eastAsiaTheme="majorEastAsia" w:cstheme="majorEastAsia"/>
          <w:color w:val="auto"/>
          <w:kern w:val="0"/>
          <w:sz w:val="24"/>
          <w:highlight w:val="none"/>
          <w:u w:val="single"/>
        </w:rPr>
        <w:t>     （采购人或采购代理机构）</w:t>
      </w:r>
      <w:r>
        <w:rPr>
          <w:rFonts w:hint="eastAsia" w:asciiTheme="majorEastAsia" w:hAnsiTheme="majorEastAsia" w:eastAsiaTheme="majorEastAsia" w:cstheme="majorEastAsia"/>
          <w:color w:val="auto"/>
          <w:kern w:val="0"/>
          <w:sz w:val="24"/>
          <w:highlight w:val="none"/>
        </w:rPr>
        <w:t>          </w:t>
      </w:r>
    </w:p>
    <w:p>
      <w:pPr>
        <w:widowControl/>
        <w:spacing w:before="100" w:beforeAutospacing="1" w:after="100" w:afterAutospacing="1"/>
        <w:ind w:firstLine="480" w:firstLineChars="200"/>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兹收到贵单位关于（填写“项目名称”）项目（</w:t>
      </w:r>
      <w:r>
        <w:rPr>
          <w:rFonts w:hint="eastAsia" w:asciiTheme="majorEastAsia" w:hAnsiTheme="majorEastAsia" w:eastAsiaTheme="majorEastAsia" w:cstheme="majorEastAsia"/>
          <w:color w:val="auto"/>
          <w:kern w:val="0"/>
          <w:sz w:val="24"/>
          <w:highlight w:val="none"/>
          <w:lang w:eastAsia="zh-CN"/>
        </w:rPr>
        <w:t>项目</w:t>
      </w:r>
      <w:r>
        <w:rPr>
          <w:rFonts w:hint="eastAsia" w:asciiTheme="majorEastAsia" w:hAnsiTheme="majorEastAsia" w:eastAsiaTheme="majorEastAsia" w:cstheme="majorEastAsia"/>
          <w:color w:val="auto"/>
          <w:kern w:val="0"/>
          <w:sz w:val="24"/>
          <w:highlight w:val="none"/>
        </w:rPr>
        <w:t>编号：_______）的投标邀请，本投标人代表（填写“全名”）已获得我方正式授权并代表投标人（填写“全称”）参加投标，并提交招标文件规定份数的投标文件正本和副本。我方提交的全部投标文件均由下述部分组成：</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（1）资格及资信证明部分</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①投标函</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②投标人的资格及资信证明文件</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③投标保证金</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（2）报价部分</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①开标一览表</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②投标分项报价表</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③招标文件规定的价格扣除证明材料（若有）</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④招标文件规定的加分证明材料（若有）</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（3）技术商务部分</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①标的说明一览表</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②技术和服务要求响应表</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③商务条件响应表</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④投标人提交的其他资料（若有）</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根据本函，本投标人代表宣布我方保证遵守招标文件的全部规定，同时：</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w:t>
      </w:r>
      <w:r>
        <w:rPr>
          <w:rFonts w:hint="eastAsia" w:asciiTheme="majorEastAsia" w:hAnsiTheme="majorEastAsia" w:eastAsiaTheme="majorEastAsia" w:cstheme="majorEastAsia"/>
          <w:b/>
          <w:bCs/>
          <w:color w:val="auto"/>
          <w:kern w:val="0"/>
          <w:sz w:val="24"/>
          <w:highlight w:val="none"/>
        </w:rPr>
        <w:t>确认：</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1.1</w:t>
      </w:r>
      <w:r>
        <w:rPr>
          <w:rFonts w:ascii="宋体" w:hAnsi="宋体" w:eastAsia="宋体" w:cs="宋体"/>
          <w:color w:val="auto"/>
          <w:kern w:val="0"/>
          <w:szCs w:val="21"/>
          <w:highlight w:val="none"/>
        </w:rPr>
        <w:t>所投采购包</w:t>
      </w:r>
      <w:r>
        <w:rPr>
          <w:rFonts w:hint="eastAsia" w:asciiTheme="majorEastAsia" w:hAnsiTheme="majorEastAsia" w:eastAsiaTheme="majorEastAsia" w:cstheme="majorEastAsia"/>
          <w:color w:val="auto"/>
          <w:kern w:val="0"/>
          <w:sz w:val="24"/>
          <w:highlight w:val="none"/>
        </w:rPr>
        <w:t>的投标报价详见“开标一览表”及“投标分项报价表”。</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1.2我方已详细审查全部招标文件[包括但不限于：有关附件（若有）、澄清或修改（若有）等]，并自行承担因对全部招标文件理解不正确或误解而产生的相应后果和责任。</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w:t>
      </w:r>
      <w:r>
        <w:rPr>
          <w:rFonts w:hint="eastAsia" w:asciiTheme="majorEastAsia" w:hAnsiTheme="majorEastAsia" w:eastAsiaTheme="majorEastAsia" w:cstheme="majorEastAsia"/>
          <w:b/>
          <w:bCs/>
          <w:color w:val="auto"/>
          <w:kern w:val="0"/>
          <w:sz w:val="24"/>
          <w:highlight w:val="none"/>
        </w:rPr>
        <w:t>承诺及声明：</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2.1我方具备招标文件第</w:t>
      </w:r>
      <w:r>
        <w:rPr>
          <w:rFonts w:hint="eastAsia" w:asciiTheme="majorEastAsia" w:hAnsiTheme="majorEastAsia" w:eastAsiaTheme="majorEastAsia" w:cstheme="majorEastAsia"/>
          <w:color w:val="auto"/>
          <w:kern w:val="0"/>
          <w:sz w:val="24"/>
          <w:highlight w:val="none"/>
          <w:lang w:eastAsia="zh-CN"/>
        </w:rPr>
        <w:t>一</w:t>
      </w:r>
      <w:r>
        <w:rPr>
          <w:rFonts w:hint="eastAsia" w:asciiTheme="majorEastAsia" w:hAnsiTheme="majorEastAsia" w:eastAsiaTheme="majorEastAsia" w:cstheme="majorEastAsia"/>
          <w:color w:val="auto"/>
          <w:kern w:val="0"/>
          <w:sz w:val="24"/>
          <w:highlight w:val="none"/>
        </w:rPr>
        <w:t>章载明的“投标人的资格要求”且符合招标文件第三章载明的“二、投标人”之规定，否则</w:t>
      </w:r>
      <w:r>
        <w:rPr>
          <w:rFonts w:hint="eastAsia" w:asciiTheme="majorEastAsia" w:hAnsiTheme="majorEastAsia" w:eastAsiaTheme="majorEastAsia" w:cstheme="majorEastAsia"/>
          <w:b/>
          <w:bCs/>
          <w:color w:val="auto"/>
          <w:kern w:val="0"/>
          <w:sz w:val="24"/>
          <w:highlight w:val="none"/>
        </w:rPr>
        <w:t>投标无效。</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2.2我方提交的投标文件各组成部分的全部内容及资料是不可割离且真实、有效、准确、完整和不具有任何误导性的，否则产生不利后果由我方承担责任。</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2.3我方提供的标的价格不高于同期市场价格，否则产生不利后果由我方承担责任。</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2.4投标保证金：若出现招标文件第三章规定的不予退还情形，同意贵单位不予退还。</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2.5投标有效期：按照招标文件第三章规定执行，并在招标文件第二章载明的期限内保持有效。</w:t>
      </w:r>
    </w:p>
    <w:p>
      <w:pPr>
        <w:widowControl/>
        <w:spacing w:before="75" w:after="75" w:line="360" w:lineRule="exact"/>
        <w:ind w:firstLine="42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2.6若中标，将按照招标文件、我方投标文件及政府采购合同履行责任和义务。</w:t>
      </w:r>
    </w:p>
    <w:p>
      <w:pPr>
        <w:widowControl/>
        <w:spacing w:before="75" w:after="75" w:line="360" w:lineRule="exact"/>
        <w:ind w:firstLine="420"/>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2.7若贵单位要求，我方同意提供与本项目投标有关的一切资料、数据或文件，并完全理解贵单位不一定要接受最低的投标报价或收到的任何投标。</w:t>
      </w:r>
    </w:p>
    <w:p>
      <w:pPr>
        <w:widowControl/>
        <w:spacing w:before="75" w:after="75" w:line="360" w:lineRule="exact"/>
        <w:ind w:firstLine="420"/>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2.8我方承诺投标文件所提供的全部资料真实可靠，并接受评标委员会、采购人、采购代理机构、监管部门进一步审查其中任何资料真实性的要求。</w:t>
      </w:r>
    </w:p>
    <w:p>
      <w:pPr>
        <w:widowControl/>
        <w:spacing w:before="75" w:after="75" w:line="360" w:lineRule="exact"/>
        <w:ind w:firstLine="420"/>
        <w:jc w:val="left"/>
        <w:rPr>
          <w:rFonts w:hint="eastAsia" w:eastAsia="宋体" w:asciiTheme="majorEastAsia" w:hAnsiTheme="majorEastAsia" w:cstheme="majorEastAsia"/>
          <w:color w:val="auto"/>
          <w:kern w:val="0"/>
          <w:sz w:val="24"/>
          <w:highlight w:val="none"/>
          <w:lang w:eastAsia="zh-CN"/>
        </w:rPr>
      </w:pPr>
      <w:r>
        <w:rPr>
          <w:rFonts w:hint="eastAsia" w:asciiTheme="majorEastAsia" w:hAnsiTheme="majorEastAsia" w:eastAsiaTheme="majorEastAsia" w:cstheme="majorEastAsia"/>
          <w:color w:val="auto"/>
          <w:kern w:val="0"/>
          <w:sz w:val="24"/>
          <w:highlight w:val="none"/>
        </w:rPr>
        <w:t>2.9除招标文件另有规定外，对于贵单位按照下述联络方式发出的任何信息或通知，均视为我方已收悉前述信息或通知的全部内容：</w:t>
      </w:r>
      <w:r>
        <w:rPr>
          <w:rFonts w:ascii="宋体" w:hAnsi="宋体" w:eastAsia="宋体" w:cs="宋体"/>
          <w:color w:val="auto"/>
          <w:kern w:val="0"/>
          <w:szCs w:val="21"/>
          <w:highlight w:val="none"/>
        </w:rPr>
        <w:br w:type="textWrapping"/>
      </w:r>
    </w:p>
    <w:p>
      <w:pPr>
        <w:widowControl/>
        <w:spacing w:before="75" w:after="75"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通信地址：               </w:t>
      </w:r>
    </w:p>
    <w:p>
      <w:pPr>
        <w:widowControl/>
        <w:spacing w:before="75" w:after="75"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邮编：                 </w:t>
      </w:r>
    </w:p>
    <w:p>
      <w:pPr>
        <w:widowControl/>
        <w:spacing w:before="75" w:after="75" w:line="360" w:lineRule="exac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联系方法：（包括但不限于：联系人、联系电话、手机、传真、电子邮箱等）</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投标人：（全称并加盖单位公章）</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投标人代表签字：                   </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日期：    年   月   日</w:t>
      </w:r>
    </w:p>
    <w:p>
      <w:pPr>
        <w:widowControl/>
        <w:spacing w:before="75" w:after="75"/>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br w:type="textWrapping"/>
      </w:r>
    </w:p>
    <w:p>
      <w:pPr>
        <w:widowControl/>
        <w:spacing w:before="75" w:after="75"/>
        <w:jc w:val="center"/>
        <w:rPr>
          <w:rFonts w:asciiTheme="majorEastAsia" w:hAnsiTheme="majorEastAsia" w:eastAsiaTheme="majorEastAsia" w:cstheme="majorEastAsia"/>
          <w:color w:val="auto"/>
          <w:kern w:val="0"/>
          <w:sz w:val="24"/>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p>
    <w:p>
      <w:pPr>
        <w:widowControl/>
        <w:spacing w:before="75" w:after="75"/>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bCs/>
          <w:color w:val="auto"/>
          <w:kern w:val="0"/>
          <w:sz w:val="24"/>
          <w:highlight w:val="none"/>
        </w:rPr>
        <w:t>二、投标人的资格及资信证明文件</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 </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ascii="宋体" w:hAnsi="宋体" w:eastAsia="宋体" w:cs="宋体"/>
          <w:color w:val="auto"/>
          <w:kern w:val="0"/>
          <w:sz w:val="24"/>
          <w:szCs w:val="24"/>
          <w:highlight w:val="none"/>
        </w:rPr>
      </w:pPr>
      <w:r>
        <w:rPr>
          <w:rFonts w:ascii="宋体" w:hAnsi="宋体" w:eastAsia="宋体" w:cs="宋体"/>
          <w:b/>
          <w:bCs/>
          <w:color w:val="auto"/>
          <w:kern w:val="0"/>
          <w:sz w:val="24"/>
          <w:szCs w:val="24"/>
          <w:highlight w:val="none"/>
        </w:rPr>
        <w:t>二-1单位授权书（若有）</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致：</w:t>
      </w:r>
      <w:r>
        <w:rPr>
          <w:rFonts w:ascii="宋体" w:hAnsi="宋体" w:eastAsia="宋体" w:cs="宋体"/>
          <w:color w:val="auto"/>
          <w:kern w:val="0"/>
          <w:sz w:val="24"/>
          <w:szCs w:val="24"/>
          <w:highlight w:val="none"/>
          <w:u w:val="single"/>
        </w:rPr>
        <w:t>            （采购人或采购代理机构） </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20"/>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我方的单位负责人</w:t>
      </w:r>
      <w:r>
        <w:rPr>
          <w:rFonts w:ascii="宋体" w:hAnsi="宋体" w:eastAsia="宋体" w:cs="宋体"/>
          <w:color w:val="auto"/>
          <w:kern w:val="0"/>
          <w:sz w:val="24"/>
          <w:szCs w:val="24"/>
          <w:highlight w:val="none"/>
          <w:u w:val="single"/>
        </w:rPr>
        <w:t>（填写“单位负责人全名”）</w:t>
      </w:r>
      <w:r>
        <w:rPr>
          <w:rFonts w:ascii="宋体" w:hAnsi="宋体" w:eastAsia="宋体" w:cs="宋体"/>
          <w:color w:val="auto"/>
          <w:kern w:val="0"/>
          <w:sz w:val="24"/>
          <w:szCs w:val="24"/>
          <w:highlight w:val="none"/>
        </w:rPr>
        <w:t>授权</w:t>
      </w:r>
      <w:r>
        <w:rPr>
          <w:rFonts w:ascii="宋体" w:hAnsi="宋体" w:eastAsia="宋体" w:cs="宋体"/>
          <w:color w:val="auto"/>
          <w:kern w:val="0"/>
          <w:sz w:val="24"/>
          <w:szCs w:val="24"/>
          <w:highlight w:val="none"/>
          <w:u w:val="single"/>
        </w:rPr>
        <w:t>（填写“投标人代表全名”）</w:t>
      </w:r>
      <w:r>
        <w:rPr>
          <w:rFonts w:ascii="宋体" w:hAnsi="宋体" w:eastAsia="宋体" w:cs="宋体"/>
          <w:color w:val="auto"/>
          <w:kern w:val="0"/>
          <w:sz w:val="24"/>
          <w:szCs w:val="24"/>
          <w:highlight w:val="none"/>
        </w:rPr>
        <w:t>为投标人代表，代表我方参加</w:t>
      </w:r>
      <w:r>
        <w:rPr>
          <w:rFonts w:ascii="宋体" w:hAnsi="宋体" w:eastAsia="宋体" w:cs="宋体"/>
          <w:color w:val="auto"/>
          <w:kern w:val="0"/>
          <w:sz w:val="24"/>
          <w:szCs w:val="24"/>
          <w:highlight w:val="none"/>
          <w:u w:val="single"/>
        </w:rPr>
        <w:t>（填写“项目名称”）</w:t>
      </w:r>
      <w:r>
        <w:rPr>
          <w:rFonts w:ascii="宋体" w:hAnsi="宋体" w:eastAsia="宋体" w:cs="宋体"/>
          <w:color w:val="auto"/>
          <w:kern w:val="0"/>
          <w:sz w:val="24"/>
          <w:szCs w:val="24"/>
          <w:highlight w:val="none"/>
        </w:rPr>
        <w:t>项目（项目编号：</w:t>
      </w:r>
      <w:r>
        <w:rPr>
          <w:rFonts w:ascii="宋体" w:hAnsi="宋体" w:eastAsia="宋体" w:cs="宋体"/>
          <w:color w:val="auto"/>
          <w:kern w:val="0"/>
          <w:sz w:val="24"/>
          <w:szCs w:val="24"/>
          <w:highlight w:val="none"/>
          <w:u w:val="single"/>
        </w:rPr>
        <w:t>         </w:t>
      </w:r>
      <w:r>
        <w:rPr>
          <w:rFonts w:ascii="宋体" w:hAnsi="宋体" w:eastAsia="宋体" w:cs="宋体"/>
          <w:color w:val="auto"/>
          <w:kern w:val="0"/>
          <w:sz w:val="24"/>
          <w:szCs w:val="24"/>
          <w:highlight w:val="none"/>
        </w:rPr>
        <w:t>）的投标，全权代表我方处理投标过程的一切事宜，包括但不限于：投标、参加开标、谈判、澄清、签约等。投标人代表在投标过程中所签署的一切文件和处理与之有关的一切事务，我方均予以认可并对此承担责任。</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20"/>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投标人代表无转委权。特此授权。</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（以下无正文）</w:t>
      </w:r>
    </w:p>
    <w:p>
      <w:pPr>
        <w:widowControl/>
        <w:spacing w:before="75" w:after="75"/>
        <w:ind w:firstLine="420"/>
        <w:jc w:val="left"/>
        <w:rPr>
          <w:rFonts w:asciiTheme="majorEastAsia" w:hAnsiTheme="majorEastAsia" w:eastAsiaTheme="majorEastAsia" w:cstheme="majorEastAsia"/>
          <w:color w:val="auto"/>
          <w:kern w:val="0"/>
          <w:sz w:val="24"/>
          <w:highlight w:val="none"/>
        </w:rPr>
      </w:pP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 </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单位</w:t>
      </w:r>
      <w:r>
        <w:rPr>
          <w:rFonts w:hint="eastAsia" w:asciiTheme="majorEastAsia" w:hAnsiTheme="majorEastAsia" w:eastAsiaTheme="majorEastAsia" w:cstheme="majorEastAsia"/>
          <w:color w:val="auto"/>
          <w:kern w:val="0"/>
          <w:sz w:val="24"/>
          <w:highlight w:val="none"/>
          <w:lang w:eastAsia="zh-CN"/>
        </w:rPr>
        <w:t>负责</w:t>
      </w:r>
      <w:r>
        <w:rPr>
          <w:rFonts w:hint="eastAsia" w:asciiTheme="majorEastAsia" w:hAnsiTheme="majorEastAsia" w:eastAsiaTheme="majorEastAsia" w:cstheme="majorEastAsia"/>
          <w:color w:val="auto"/>
          <w:kern w:val="0"/>
          <w:sz w:val="24"/>
          <w:highlight w:val="none"/>
        </w:rPr>
        <w:t>人：             </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身份证号：                </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 xml:space="preserve">手机：               </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投标人代表：             </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身份证号：                </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手机：              </w:t>
      </w:r>
    </w:p>
    <w:p>
      <w:pPr>
        <w:widowControl/>
        <w:spacing w:before="75" w:after="75"/>
        <w:jc w:val="left"/>
        <w:rPr>
          <w:rFonts w:asciiTheme="majorEastAsia" w:hAnsiTheme="majorEastAsia" w:eastAsiaTheme="majorEastAsia" w:cstheme="majorEastAsia"/>
          <w:color w:val="auto"/>
          <w:kern w:val="0"/>
          <w:sz w:val="24"/>
          <w:highlight w:val="none"/>
        </w:rPr>
      </w:pP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授权方</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投标人：（全称并加盖单位公章）</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单位法定代表人签字或盖章：                   </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接受授权方</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投标人代表签字：                   </w:t>
      </w:r>
    </w:p>
    <w:p>
      <w:pPr>
        <w:widowControl/>
        <w:spacing w:before="75" w:after="75"/>
        <w:jc w:val="righ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签署日期：    年   月   日</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 </w:t>
      </w:r>
    </w:p>
    <w:p>
      <w:pPr>
        <w:widowControl/>
        <w:spacing w:before="75" w:after="75"/>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附：单位</w:t>
      </w:r>
      <w:r>
        <w:rPr>
          <w:rFonts w:hint="eastAsia" w:asciiTheme="majorEastAsia" w:hAnsiTheme="majorEastAsia" w:eastAsiaTheme="majorEastAsia" w:cstheme="majorEastAsia"/>
          <w:color w:val="auto"/>
          <w:kern w:val="0"/>
          <w:sz w:val="24"/>
          <w:highlight w:val="none"/>
          <w:lang w:eastAsia="zh-CN"/>
        </w:rPr>
        <w:t>负责</w:t>
      </w:r>
      <w:r>
        <w:rPr>
          <w:rFonts w:hint="eastAsia" w:asciiTheme="majorEastAsia" w:hAnsiTheme="majorEastAsia" w:eastAsiaTheme="majorEastAsia" w:cstheme="majorEastAsia"/>
          <w:color w:val="auto"/>
          <w:kern w:val="0"/>
          <w:sz w:val="24"/>
          <w:highlight w:val="none"/>
        </w:rPr>
        <w:t>人、投标人代表的身份证正反面复印件</w:t>
      </w:r>
    </w:p>
    <w:tbl>
      <w:tblPr>
        <w:tblStyle w:val="21"/>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460" w:type="dxa"/>
            <w:tcBorders>
              <w:top w:val="outset" w:color="auto" w:sz="6" w:space="0"/>
              <w:bottom w:val="outset" w:color="auto" w:sz="6" w:space="0"/>
            </w:tcBorders>
            <w:tcMar>
              <w:top w:w="0" w:type="dxa"/>
              <w:left w:w="105" w:type="dxa"/>
              <w:bottom w:w="0" w:type="dxa"/>
              <w:right w:w="105" w:type="dxa"/>
            </w:tcMar>
            <w:vAlign w:val="center"/>
          </w:tcPr>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bCs/>
                <w:color w:val="auto"/>
                <w:kern w:val="0"/>
                <w:sz w:val="24"/>
                <w:highlight w:val="none"/>
              </w:rPr>
              <w:t> </w:t>
            </w:r>
          </w:p>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bCs/>
                <w:color w:val="auto"/>
                <w:kern w:val="0"/>
                <w:sz w:val="24"/>
                <w:highlight w:val="none"/>
              </w:rPr>
              <w:t>要求：真实有效且内容完整、清晰、整洁。</w:t>
            </w:r>
          </w:p>
          <w:p>
            <w:pPr>
              <w:widowControl/>
              <w:jc w:val="center"/>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bCs/>
                <w:color w:val="auto"/>
                <w:kern w:val="0"/>
                <w:sz w:val="24"/>
                <w:highlight w:val="none"/>
              </w:rPr>
              <w:t> </w:t>
            </w:r>
          </w:p>
        </w:tc>
      </w:tr>
    </w:tbl>
    <w:p>
      <w:pPr>
        <w:widowControl/>
        <w:spacing w:before="75" w:after="75"/>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 </w:t>
      </w:r>
      <w:r>
        <w:rPr>
          <w:rFonts w:hint="eastAsia" w:asciiTheme="majorEastAsia" w:hAnsiTheme="majorEastAsia" w:eastAsiaTheme="majorEastAsia" w:cstheme="majorEastAsia"/>
          <w:color w:val="auto"/>
          <w:kern w:val="0"/>
          <w:sz w:val="24"/>
          <w:highlight w:val="none"/>
        </w:rPr>
        <w:br w:type="textWrapping"/>
      </w:r>
      <w:r>
        <w:rPr>
          <w:rFonts w:hint="eastAsia" w:asciiTheme="majorEastAsia" w:hAnsiTheme="majorEastAsia" w:eastAsiaTheme="majorEastAsia" w:cstheme="majorEastAsia"/>
          <w:color w:val="auto"/>
          <w:kern w:val="0"/>
          <w:sz w:val="24"/>
          <w:highlight w:val="none"/>
        </w:rPr>
        <w:t>※注意：</w:t>
      </w:r>
    </w:p>
    <w:p>
      <w:pPr>
        <w:widowControl/>
        <w:spacing w:before="75" w:after="75"/>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1、企业（银行、保险、石油石化、电力、电信等行业除外）、事业单位和社会团体法人的“单位负责人”指法定代表人，即与实际提交的“营业执照等证明文件”载明的一致。</w:t>
      </w:r>
    </w:p>
    <w:p>
      <w:pPr>
        <w:widowControl/>
        <w:spacing w:before="75" w:after="75"/>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widowControl/>
        <w:spacing w:before="75" w:after="75"/>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3、投标人（自然人除外）：若投标人代表为单位授权的委托代理人，应提供本授权书；若投标人代表为单位负责人，应在此项下提交其身份证正反面复印件，可不提供本授权书。</w:t>
      </w:r>
      <w:r>
        <w:rPr>
          <w:rFonts w:hint="eastAsia" w:asciiTheme="majorEastAsia" w:hAnsiTheme="majorEastAsia" w:eastAsiaTheme="majorEastAsia" w:cstheme="majorEastAsia"/>
          <w:color w:val="auto"/>
          <w:kern w:val="0"/>
          <w:sz w:val="24"/>
          <w:highlight w:val="none"/>
        </w:rPr>
        <w:br w:type="textWrapping"/>
      </w:r>
      <w:r>
        <w:rPr>
          <w:rFonts w:hint="eastAsia" w:asciiTheme="majorEastAsia" w:hAnsiTheme="majorEastAsia" w:eastAsiaTheme="majorEastAsia" w:cstheme="majorEastAsia"/>
          <w:color w:val="auto"/>
          <w:kern w:val="0"/>
          <w:sz w:val="24"/>
          <w:highlight w:val="none"/>
        </w:rPr>
        <w:t>4、投标人为自然人的，可不填写本授权书。</w:t>
      </w:r>
    </w:p>
    <w:p>
      <w:pPr>
        <w:widowControl/>
        <w:spacing w:line="360" w:lineRule="auto"/>
        <w:jc w:val="left"/>
        <w:rPr>
          <w:rFonts w:asciiTheme="majorEastAsia" w:hAnsiTheme="majorEastAsia" w:eastAsiaTheme="majorEastAsia" w:cstheme="majorEastAsia"/>
          <w:b/>
          <w:bCs/>
          <w:color w:val="auto"/>
          <w:kern w:val="0"/>
          <w:sz w:val="24"/>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Style w:val="25"/>
          <w:rFonts w:asciiTheme="majorEastAsia" w:hAnsiTheme="majorEastAsia" w:eastAsiaTheme="majorEastAsia" w:cstheme="majorEastAsia"/>
          <w:color w:val="auto"/>
          <w:sz w:val="22"/>
          <w:szCs w:val="22"/>
          <w:highlight w:val="none"/>
        </w:rPr>
      </w:pPr>
    </w:p>
    <w:p>
      <w:pPr>
        <w:pStyle w:val="18"/>
        <w:widowControl/>
        <w:spacing w:line="480" w:lineRule="exact"/>
        <w:jc w:val="center"/>
        <w:rPr>
          <w:rFonts w:asciiTheme="majorEastAsia" w:hAnsiTheme="majorEastAsia" w:eastAsiaTheme="majorEastAsia" w:cstheme="majorEastAsia"/>
          <w:color w:val="auto"/>
          <w:sz w:val="36"/>
          <w:szCs w:val="36"/>
          <w:highlight w:val="none"/>
        </w:rPr>
      </w:pPr>
      <w:r>
        <w:rPr>
          <w:rStyle w:val="25"/>
          <w:rFonts w:hint="eastAsia" w:asciiTheme="majorEastAsia" w:hAnsiTheme="majorEastAsia" w:eastAsiaTheme="majorEastAsia" w:cstheme="majorEastAsia"/>
          <w:color w:val="auto"/>
          <w:highlight w:val="none"/>
        </w:rPr>
        <w:t>二-2营业执照等证明文件</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致：</w:t>
      </w:r>
      <w:r>
        <w:rPr>
          <w:rFonts w:hint="eastAsia" w:asciiTheme="majorEastAsia" w:hAnsiTheme="majorEastAsia" w:eastAsiaTheme="majorEastAsia" w:cstheme="majorEastAsia"/>
          <w:color w:val="auto"/>
          <w:highlight w:val="none"/>
          <w:u w:val="single"/>
        </w:rPr>
        <w:t>      </w:t>
      </w:r>
      <w:r>
        <w:rPr>
          <w:rFonts w:ascii="宋体" w:hAnsi="宋体" w:eastAsia="宋体" w:cs="宋体"/>
          <w:color w:val="auto"/>
          <w:kern w:val="0"/>
          <w:szCs w:val="21"/>
          <w:highlight w:val="none"/>
          <w:u w:val="single"/>
        </w:rPr>
        <w:t>（采购人或采购代理机构）</w:t>
      </w:r>
      <w:r>
        <w:rPr>
          <w:rFonts w:hint="eastAsia" w:asciiTheme="majorEastAsia" w:hAnsiTheme="majorEastAsia" w:eastAsiaTheme="majorEastAsia" w:cstheme="majorEastAsia"/>
          <w:color w:val="auto"/>
          <w:highlight w:val="none"/>
          <w:u w:val="single"/>
        </w:rPr>
        <w:t>       </w:t>
      </w:r>
    </w:p>
    <w:p>
      <w:pPr>
        <w:pStyle w:val="18"/>
        <w:widowControl/>
        <w:spacing w:line="480" w:lineRule="exact"/>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）投标人为法人（包括企业、事业单位和社会团体）的</w:t>
      </w:r>
    </w:p>
    <w:p>
      <w:pPr>
        <w:pStyle w:val="18"/>
        <w:widowControl/>
        <w:spacing w:line="480" w:lineRule="exact"/>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现附上由</w:t>
      </w:r>
      <w:r>
        <w:rPr>
          <w:rFonts w:hint="eastAsia" w:asciiTheme="majorEastAsia" w:hAnsiTheme="majorEastAsia" w:eastAsiaTheme="majorEastAsia" w:cstheme="majorEastAsia"/>
          <w:color w:val="auto"/>
          <w:highlight w:val="none"/>
          <w:u w:val="single"/>
        </w:rPr>
        <w:t>（填写“签发机关全称”）</w:t>
      </w:r>
      <w:r>
        <w:rPr>
          <w:rFonts w:hint="eastAsia" w:asciiTheme="majorEastAsia" w:hAnsiTheme="majorEastAsia" w:eastAsiaTheme="majorEastAsia" w:cstheme="majorEastAsia"/>
          <w:color w:val="auto"/>
          <w:highlight w:val="none"/>
        </w:rPr>
        <w:t>签发的我方统一社会信用代码</w:t>
      </w:r>
      <w:r>
        <w:rPr>
          <w:rFonts w:hint="eastAsia" w:asciiTheme="majorEastAsia" w:hAnsiTheme="majorEastAsia" w:eastAsiaTheme="majorEastAsia" w:cstheme="majorEastAsia"/>
          <w:color w:val="auto"/>
          <w:highlight w:val="none"/>
          <w:u w:val="single"/>
        </w:rPr>
        <w:t>（请填写法人的具体证照名称）</w:t>
      </w:r>
      <w:r>
        <w:rPr>
          <w:rFonts w:hint="eastAsia" w:asciiTheme="majorEastAsia" w:hAnsiTheme="majorEastAsia" w:eastAsiaTheme="majorEastAsia" w:cstheme="majorEastAsia"/>
          <w:color w:val="auto"/>
          <w:highlight w:val="none"/>
        </w:rPr>
        <w:t>复印件，该证明材料真实有效，否则我方负全部责任。</w:t>
      </w:r>
    </w:p>
    <w:p>
      <w:pPr>
        <w:pStyle w:val="18"/>
        <w:widowControl/>
        <w:spacing w:line="480" w:lineRule="exact"/>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）投标人为非法人（包括其他组织、自然人）的</w:t>
      </w:r>
    </w:p>
    <w:p>
      <w:pPr>
        <w:pStyle w:val="18"/>
        <w:widowControl/>
        <w:spacing w:line="480" w:lineRule="exact"/>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□现附上由</w:t>
      </w:r>
      <w:r>
        <w:rPr>
          <w:rFonts w:hint="eastAsia" w:asciiTheme="majorEastAsia" w:hAnsiTheme="majorEastAsia" w:eastAsiaTheme="majorEastAsia" w:cstheme="majorEastAsia"/>
          <w:color w:val="auto"/>
          <w:highlight w:val="none"/>
          <w:u w:val="single"/>
        </w:rPr>
        <w:t>（填写“签发机关全称”）</w:t>
      </w:r>
      <w:r>
        <w:rPr>
          <w:rFonts w:hint="eastAsia" w:asciiTheme="majorEastAsia" w:hAnsiTheme="majorEastAsia" w:eastAsiaTheme="majorEastAsia" w:cstheme="majorEastAsia"/>
          <w:color w:val="auto"/>
          <w:highlight w:val="none"/>
        </w:rPr>
        <w:t>签发的我方</w:t>
      </w:r>
      <w:r>
        <w:rPr>
          <w:rFonts w:hint="eastAsia" w:asciiTheme="majorEastAsia" w:hAnsiTheme="majorEastAsia" w:eastAsiaTheme="majorEastAsia" w:cstheme="majorEastAsia"/>
          <w:color w:val="auto"/>
          <w:highlight w:val="none"/>
          <w:u w:val="single"/>
        </w:rPr>
        <w:t>（请填写非自然人的非法人的具体证照名称）</w:t>
      </w:r>
      <w:r>
        <w:rPr>
          <w:rFonts w:hint="eastAsia" w:asciiTheme="majorEastAsia" w:hAnsiTheme="majorEastAsia" w:eastAsiaTheme="majorEastAsia" w:cstheme="majorEastAsia"/>
          <w:color w:val="auto"/>
          <w:highlight w:val="none"/>
        </w:rPr>
        <w:t>复印件，该证明材料真实有效，否则我方负全部责任。</w:t>
      </w:r>
    </w:p>
    <w:p>
      <w:pPr>
        <w:pStyle w:val="18"/>
        <w:widowControl/>
        <w:spacing w:line="480" w:lineRule="exact"/>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□现附上由</w:t>
      </w:r>
      <w:r>
        <w:rPr>
          <w:rFonts w:hint="eastAsia" w:asciiTheme="majorEastAsia" w:hAnsiTheme="majorEastAsia" w:eastAsiaTheme="majorEastAsia" w:cstheme="majorEastAsia"/>
          <w:color w:val="auto"/>
          <w:highlight w:val="none"/>
          <w:u w:val="single"/>
        </w:rPr>
        <w:t>（填写“签发机关全称”）</w:t>
      </w:r>
      <w:r>
        <w:rPr>
          <w:rFonts w:hint="eastAsia" w:asciiTheme="majorEastAsia" w:hAnsiTheme="majorEastAsia" w:eastAsiaTheme="majorEastAsia" w:cstheme="majorEastAsia"/>
          <w:color w:val="auto"/>
          <w:highlight w:val="none"/>
        </w:rPr>
        <w:t>签发的我方</w:t>
      </w:r>
      <w:r>
        <w:rPr>
          <w:rFonts w:hint="eastAsia" w:asciiTheme="majorEastAsia" w:hAnsiTheme="majorEastAsia" w:eastAsiaTheme="majorEastAsia" w:cstheme="majorEastAsia"/>
          <w:color w:val="auto"/>
          <w:highlight w:val="none"/>
          <w:u w:val="single"/>
        </w:rPr>
        <w:t>（请填写自然人的身份证件名称）</w:t>
      </w:r>
      <w:r>
        <w:rPr>
          <w:rFonts w:hint="eastAsia" w:asciiTheme="majorEastAsia" w:hAnsiTheme="majorEastAsia" w:eastAsiaTheme="majorEastAsia" w:cstheme="majorEastAsia"/>
          <w:color w:val="auto"/>
          <w:highlight w:val="none"/>
        </w:rPr>
        <w:t>复印件，该证明材料真实有效，否则我方负全部责任。</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widowControl/>
        <w:spacing w:before="100" w:beforeAutospacing="1" w:after="100" w:afterAutospacing="1"/>
        <w:jc w:val="left"/>
        <w:rPr>
          <w:rFonts w:hint="eastAsia" w:asciiTheme="majorEastAsia" w:hAnsiTheme="majorEastAsia" w:eastAsiaTheme="majorEastAsia" w:cstheme="majorEastAsia"/>
          <w:color w:val="auto"/>
          <w:kern w:val="2"/>
          <w:sz w:val="24"/>
          <w:szCs w:val="24"/>
          <w:highlight w:val="none"/>
          <w:lang w:val="en-US" w:eastAsia="zh-CN" w:bidi="ar-SA"/>
        </w:rPr>
      </w:pPr>
      <w:r>
        <w:rPr>
          <w:rFonts w:hint="eastAsia" w:asciiTheme="majorEastAsia" w:hAnsiTheme="majorEastAsia" w:eastAsiaTheme="majorEastAsia" w:cstheme="majorEastAsia"/>
          <w:color w:val="auto"/>
          <w:kern w:val="2"/>
          <w:sz w:val="24"/>
          <w:szCs w:val="24"/>
          <w:highlight w:val="none"/>
          <w:lang w:val="en-US" w:eastAsia="zh-CN" w:bidi="ar-SA"/>
        </w:rPr>
        <w:t>※注意：</w:t>
      </w:r>
    </w:p>
    <w:p>
      <w:pPr>
        <w:widowControl/>
        <w:spacing w:before="100" w:beforeAutospacing="1" w:after="100" w:afterAutospacing="1"/>
        <w:jc w:val="left"/>
        <w:rPr>
          <w:rFonts w:hint="eastAsia" w:asciiTheme="majorEastAsia" w:hAnsiTheme="majorEastAsia" w:eastAsiaTheme="majorEastAsia" w:cstheme="majorEastAsia"/>
          <w:color w:val="auto"/>
          <w:kern w:val="2"/>
          <w:sz w:val="24"/>
          <w:szCs w:val="24"/>
          <w:highlight w:val="none"/>
          <w:lang w:val="en-US" w:eastAsia="zh-CN" w:bidi="ar-SA"/>
        </w:rPr>
      </w:pPr>
      <w:r>
        <w:rPr>
          <w:rFonts w:hint="eastAsia" w:asciiTheme="majorEastAsia" w:hAnsiTheme="majorEastAsia" w:eastAsiaTheme="majorEastAsia" w:cstheme="majorEastAsia"/>
          <w:color w:val="auto"/>
          <w:kern w:val="2"/>
          <w:sz w:val="24"/>
          <w:szCs w:val="24"/>
          <w:highlight w:val="none"/>
          <w:lang w:val="en-US" w:eastAsia="zh-CN" w:bidi="ar-SA"/>
        </w:rPr>
        <w:t>1、请投标人按照实际情况编制填写，在相应的（）中打“√”并选择相应的“□”（若有）后，再按照本格式的要求提供相应证明材料的复印件。</w:t>
      </w:r>
    </w:p>
    <w:p>
      <w:pPr>
        <w:widowControl/>
        <w:spacing w:before="100" w:beforeAutospacing="1" w:after="100" w:afterAutospacing="1"/>
        <w:jc w:val="left"/>
        <w:rPr>
          <w:rFonts w:hint="eastAsia" w:asciiTheme="majorEastAsia" w:hAnsiTheme="majorEastAsia" w:eastAsiaTheme="majorEastAsia" w:cstheme="majorEastAsia"/>
          <w:color w:val="auto"/>
          <w:kern w:val="2"/>
          <w:sz w:val="24"/>
          <w:szCs w:val="24"/>
          <w:highlight w:val="none"/>
          <w:lang w:val="en-US" w:eastAsia="zh-CN" w:bidi="ar-SA"/>
        </w:rPr>
      </w:pPr>
      <w:r>
        <w:rPr>
          <w:rFonts w:hint="eastAsia" w:asciiTheme="majorEastAsia" w:hAnsiTheme="majorEastAsia" w:eastAsiaTheme="majorEastAsia" w:cstheme="majorEastAsia"/>
          <w:color w:val="auto"/>
          <w:kern w:val="2"/>
          <w:sz w:val="24"/>
          <w:szCs w:val="24"/>
          <w:highlight w:val="none"/>
          <w:lang w:val="en-US" w:eastAsia="zh-CN" w:bidi="ar-SA"/>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投标人：</w:t>
      </w:r>
      <w:r>
        <w:rPr>
          <w:rFonts w:hint="eastAsia" w:asciiTheme="majorEastAsia" w:hAnsiTheme="majorEastAsia" w:eastAsiaTheme="majorEastAsia" w:cstheme="majorEastAsia"/>
          <w:color w:val="auto"/>
          <w:highlight w:val="none"/>
          <w:u w:val="single"/>
        </w:rPr>
        <w:t>（全称并加盖单位公章）</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投标人代表签字：</w:t>
      </w:r>
      <w:r>
        <w:rPr>
          <w:rFonts w:hint="eastAsia" w:asciiTheme="majorEastAsia" w:hAnsiTheme="majorEastAsia" w:eastAsiaTheme="majorEastAsia" w:cstheme="majorEastAsia"/>
          <w:color w:val="auto"/>
          <w:highlight w:val="none"/>
          <w:u w:val="singl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日期：</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年</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月</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日</w:t>
      </w:r>
    </w:p>
    <w:p>
      <w:pPr>
        <w:pStyle w:val="18"/>
        <w:widowControl/>
        <w:spacing w:line="480" w:lineRule="exact"/>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hint="eastAsia" w:asciiTheme="majorEastAsia" w:hAnsiTheme="majorEastAsia" w:eastAsiaTheme="majorEastAsia" w:cstheme="majorEastAsia"/>
          <w:color w:val="auto"/>
          <w:highlight w:val="none"/>
        </w:rPr>
      </w:pPr>
    </w:p>
    <w:p>
      <w:pPr>
        <w:pStyle w:val="18"/>
        <w:widowControl/>
        <w:spacing w:line="480" w:lineRule="exact"/>
        <w:rPr>
          <w:rFonts w:hint="eastAsia"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sz w:val="32"/>
          <w:szCs w:val="32"/>
          <w:highlight w:val="none"/>
        </w:rPr>
      </w:pPr>
      <w:r>
        <w:rPr>
          <w:rStyle w:val="25"/>
          <w:rFonts w:hint="eastAsia" w:asciiTheme="majorEastAsia" w:hAnsiTheme="majorEastAsia" w:eastAsiaTheme="majorEastAsia" w:cstheme="majorEastAsia"/>
          <w:color w:val="auto"/>
          <w:sz w:val="22"/>
          <w:szCs w:val="22"/>
          <w:highlight w:val="none"/>
        </w:rPr>
        <w:t>二-3财务状况报告（财务报告、或资信证明、或投标担保函）</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致：</w:t>
      </w:r>
      <w:r>
        <w:rPr>
          <w:rFonts w:hint="eastAsia" w:asciiTheme="majorEastAsia" w:hAnsiTheme="majorEastAsia" w:eastAsiaTheme="majorEastAsia" w:cstheme="majorEastAsia"/>
          <w:color w:val="auto"/>
          <w:highlight w:val="none"/>
          <w:u w:val="single"/>
        </w:rPr>
        <w:t>    </w:t>
      </w:r>
      <w:r>
        <w:rPr>
          <w:rFonts w:ascii="宋体" w:hAnsi="宋体" w:eastAsia="宋体" w:cs="宋体"/>
          <w:color w:val="auto"/>
          <w:kern w:val="0"/>
          <w:szCs w:val="21"/>
          <w:highlight w:val="none"/>
          <w:u w:val="single"/>
        </w:rPr>
        <w:t>（采购人或采购代理机构）</w:t>
      </w:r>
    </w:p>
    <w:p>
      <w:pPr>
        <w:pStyle w:val="18"/>
        <w:widowControl/>
        <w:spacing w:line="480" w:lineRule="exact"/>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）投标人提供财务报告的</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□企业适用：现附上我方</w:t>
      </w:r>
      <w:r>
        <w:rPr>
          <w:rFonts w:ascii="宋体" w:hAnsi="宋体" w:eastAsia="宋体" w:cs="宋体"/>
          <w:color w:val="auto"/>
          <w:kern w:val="0"/>
          <w:sz w:val="24"/>
          <w:szCs w:val="24"/>
          <w:highlight w:val="none"/>
          <w:u w:val="single"/>
        </w:rPr>
        <w:t>（填写“具体的年度、或半年度、或季度”）</w:t>
      </w:r>
      <w:r>
        <w:rPr>
          <w:rFonts w:ascii="宋体" w:hAnsi="宋体" w:eastAsia="宋体" w:cs="宋体"/>
          <w:color w:val="auto"/>
          <w:kern w:val="0"/>
          <w:sz w:val="24"/>
          <w:szCs w:val="24"/>
          <w:highlight w:val="none"/>
        </w:rPr>
        <w:t>财务报告复印件，包括资产负债表、利润表、现金流量表、所有者权益变动表（若有）及其附注（若有）、会计师事务所营业执照和注册会计师资格证书，上述证明材料真实有效，否则我方负全部责任。</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□事业单位适用：现附上我方</w:t>
      </w:r>
      <w:r>
        <w:rPr>
          <w:rFonts w:ascii="宋体" w:hAnsi="宋体" w:eastAsia="宋体" w:cs="宋体"/>
          <w:color w:val="auto"/>
          <w:kern w:val="0"/>
          <w:sz w:val="24"/>
          <w:szCs w:val="24"/>
          <w:highlight w:val="none"/>
          <w:u w:val="single"/>
        </w:rPr>
        <w:t>（填写“具体的年度、或半年度、或季度”）</w:t>
      </w:r>
      <w:r>
        <w:rPr>
          <w:rFonts w:ascii="宋体" w:hAnsi="宋体" w:eastAsia="宋体" w:cs="宋体"/>
          <w:color w:val="auto"/>
          <w:kern w:val="0"/>
          <w:sz w:val="24"/>
          <w:szCs w:val="24"/>
          <w:highlight w:val="none"/>
        </w:rPr>
        <w:t>财务报告复印件，包括资产负债表、收入支出表（或收入费用表）、财政补助收入支出表（若有）、会计师事务所营业执照和注册会计师资格证书，上述证明材料真实有效，否则我方负全部责任。</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□社会团体、民办非企适用：现附上我方</w:t>
      </w:r>
      <w:r>
        <w:rPr>
          <w:rFonts w:ascii="宋体" w:hAnsi="宋体" w:eastAsia="宋体" w:cs="宋体"/>
          <w:color w:val="auto"/>
          <w:kern w:val="0"/>
          <w:sz w:val="24"/>
          <w:szCs w:val="24"/>
          <w:highlight w:val="none"/>
          <w:u w:val="single"/>
        </w:rPr>
        <w:t>（填写“具体的年度、或半年度、或季度”）</w:t>
      </w:r>
      <w:r>
        <w:rPr>
          <w:rFonts w:ascii="宋体" w:hAnsi="宋体" w:eastAsia="宋体" w:cs="宋体"/>
          <w:color w:val="auto"/>
          <w:kern w:val="0"/>
          <w:sz w:val="24"/>
          <w:szCs w:val="24"/>
          <w:highlight w:val="none"/>
        </w:rPr>
        <w:t>财务报告复印件，包括资产负债表、业务活动表、现金流量表、会计师事务所营业执照和注册会计师资格证书，上述证明材料真实有效，否则我方负全部责任。</w:t>
      </w:r>
    </w:p>
    <w:p>
      <w:pPr>
        <w:pStyle w:val="18"/>
        <w:widowControl/>
        <w:spacing w:line="480" w:lineRule="exact"/>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）投标人提供资信证明的</w:t>
      </w:r>
    </w:p>
    <w:p>
      <w:pPr>
        <w:pStyle w:val="18"/>
        <w:widowControl/>
        <w:spacing w:line="480" w:lineRule="exact"/>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pStyle w:val="18"/>
        <w:widowControl/>
        <w:spacing w:line="480" w:lineRule="exact"/>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□自然人适用：现附上我方银行：</w:t>
      </w:r>
      <w:r>
        <w:rPr>
          <w:rFonts w:hint="eastAsia" w:asciiTheme="majorEastAsia" w:hAnsiTheme="majorEastAsia" w:eastAsiaTheme="majorEastAsia" w:cstheme="majorEastAsia"/>
          <w:color w:val="auto"/>
          <w:highlight w:val="none"/>
          <w:u w:val="single"/>
        </w:rPr>
        <w:t>（填写自然人的“个人账户的开户银行全称”）</w:t>
      </w:r>
      <w:r>
        <w:rPr>
          <w:rFonts w:hint="eastAsia" w:asciiTheme="majorEastAsia" w:hAnsiTheme="majorEastAsia" w:eastAsiaTheme="majorEastAsia" w:cstheme="majorEastAsia"/>
          <w:color w:val="auto"/>
          <w:highlight w:val="none"/>
        </w:rPr>
        <w:t>出具的资信证明复印件，上述证明材料真实有效，否则我方负全部责任。</w:t>
      </w:r>
    </w:p>
    <w:p>
      <w:pPr>
        <w:pStyle w:val="18"/>
        <w:widowControl/>
        <w:spacing w:line="480" w:lineRule="exact"/>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）投标人提供投标担保函的</w:t>
      </w:r>
    </w:p>
    <w:p>
      <w:pPr>
        <w:pStyle w:val="18"/>
        <w:widowControl/>
        <w:spacing w:line="480" w:lineRule="exact"/>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现附上由财政部门认可的政府采购专业担保机构：</w:t>
      </w:r>
      <w:r>
        <w:rPr>
          <w:rFonts w:hint="eastAsia" w:asciiTheme="majorEastAsia" w:hAnsiTheme="majorEastAsia" w:eastAsiaTheme="majorEastAsia" w:cstheme="majorEastAsia"/>
          <w:color w:val="auto"/>
          <w:highlight w:val="none"/>
          <w:u w:val="single"/>
        </w:rPr>
        <w:t>（填写“担保机构全称”）</w:t>
      </w:r>
      <w:r>
        <w:rPr>
          <w:rFonts w:hint="eastAsia" w:asciiTheme="majorEastAsia" w:hAnsiTheme="majorEastAsia" w:eastAsiaTheme="majorEastAsia" w:cstheme="majorEastAsia"/>
          <w:color w:val="auto"/>
          <w:highlight w:val="none"/>
        </w:rPr>
        <w:t>出具的投标担保函复印件，上述证明材料真实有效，否则我方负全部责任。</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注意：</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1、请投标人按照实际情况编制填写，在相应的（）中打“√”并选择相应的“□”（若有）后，再按照本格式的要求提供相应证明材料的复印件。</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2、投标人提供的财务报告复印件（成立年限按照投标截止时间推算）应符合下列规定：</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2.1成立年限满</w:t>
      </w:r>
      <w:r>
        <w:rPr>
          <w:rFonts w:ascii="Calibri" w:hAnsi="Calibri" w:eastAsia="宋体" w:cs="宋体"/>
          <w:color w:val="auto"/>
          <w:kern w:val="0"/>
          <w:sz w:val="24"/>
          <w:szCs w:val="24"/>
          <w:highlight w:val="none"/>
        </w:rPr>
        <w:t>1</w:t>
      </w:r>
      <w:r>
        <w:rPr>
          <w:rFonts w:ascii="宋体" w:hAnsi="宋体" w:eastAsia="宋体" w:cs="宋体"/>
          <w:color w:val="auto"/>
          <w:kern w:val="0"/>
          <w:sz w:val="24"/>
          <w:szCs w:val="24"/>
          <w:highlight w:val="none"/>
        </w:rPr>
        <w:t>年及以上的投标人，提供经审计的招标文件规定的年度财务报告。</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2.2成立年限满半年但不足</w:t>
      </w:r>
      <w:r>
        <w:rPr>
          <w:rFonts w:ascii="Calibri" w:hAnsi="Calibri" w:eastAsia="宋体" w:cs="宋体"/>
          <w:color w:val="auto"/>
          <w:kern w:val="0"/>
          <w:sz w:val="24"/>
          <w:szCs w:val="24"/>
          <w:highlight w:val="none"/>
        </w:rPr>
        <w:t>1</w:t>
      </w:r>
      <w:r>
        <w:rPr>
          <w:rFonts w:ascii="宋体" w:hAnsi="宋体" w:eastAsia="宋体" w:cs="宋体"/>
          <w:color w:val="auto"/>
          <w:kern w:val="0"/>
          <w:sz w:val="24"/>
          <w:szCs w:val="24"/>
          <w:highlight w:val="none"/>
        </w:rPr>
        <w:t>年的投标人，提供该半年度中任一季度的季度财务报告或该半年度的半年度财务报告。</w:t>
      </w:r>
    </w:p>
    <w:p>
      <w:pPr>
        <w:widowControl/>
        <w:spacing w:before="100" w:beforeAutospacing="1" w:after="100" w:afterAutospacing="1"/>
        <w:jc w:val="left"/>
        <w:rPr>
          <w:rFonts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w:t>
      </w:r>
      <w:r>
        <w:rPr>
          <w:rFonts w:ascii="宋体" w:hAnsi="宋体" w:eastAsia="宋体" w:cs="宋体"/>
          <w:b/>
          <w:bCs/>
          <w:color w:val="auto"/>
          <w:kern w:val="0"/>
          <w:sz w:val="24"/>
          <w:szCs w:val="24"/>
          <w:highlight w:val="none"/>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 </w:t>
      </w:r>
    </w:p>
    <w:p>
      <w:pPr>
        <w:pStyle w:val="18"/>
        <w:widowControl/>
        <w:spacing w:line="480" w:lineRule="exact"/>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w:t>
      </w:r>
    </w:p>
    <w:p>
      <w:pPr>
        <w:pStyle w:val="18"/>
        <w:widowControl/>
        <w:spacing w:line="480" w:lineRule="exact"/>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w:t>
      </w:r>
    </w:p>
    <w:p>
      <w:pPr>
        <w:pStyle w:val="18"/>
        <w:widowControl/>
        <w:spacing w:line="480" w:lineRule="exact"/>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投标人：</w:t>
      </w:r>
      <w:r>
        <w:rPr>
          <w:rFonts w:hint="eastAsia" w:asciiTheme="majorEastAsia" w:hAnsiTheme="majorEastAsia" w:eastAsiaTheme="majorEastAsia" w:cstheme="majorEastAsia"/>
          <w:color w:val="auto"/>
          <w:sz w:val="24"/>
          <w:szCs w:val="24"/>
          <w:highlight w:val="none"/>
          <w:u w:val="single"/>
        </w:rPr>
        <w:t>（全称并加盖单位公章）</w:t>
      </w:r>
    </w:p>
    <w:p>
      <w:pPr>
        <w:pStyle w:val="18"/>
        <w:widowControl/>
        <w:spacing w:line="480" w:lineRule="exact"/>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投标人代表签字：</w:t>
      </w:r>
      <w:r>
        <w:rPr>
          <w:rFonts w:hint="eastAsia" w:asciiTheme="majorEastAsia" w:hAnsiTheme="majorEastAsia" w:eastAsiaTheme="majorEastAsia" w:cstheme="majorEastAsia"/>
          <w:color w:val="auto"/>
          <w:sz w:val="24"/>
          <w:szCs w:val="24"/>
          <w:highlight w:val="none"/>
          <w:u w:val="singl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日期：</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年</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月</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日</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sz w:val="32"/>
          <w:szCs w:val="32"/>
          <w:highlight w:val="none"/>
        </w:rPr>
      </w:pPr>
      <w:r>
        <w:rPr>
          <w:rFonts w:hint="eastAsia" w:asciiTheme="majorEastAsia" w:hAnsiTheme="majorEastAsia" w:eastAsiaTheme="majorEastAsia" w:cstheme="majorEastAsia"/>
          <w:color w:val="auto"/>
          <w:sz w:val="32"/>
          <w:szCs w:val="32"/>
          <w:highlight w:val="none"/>
        </w:rPr>
        <w:t>二</w:t>
      </w:r>
      <w:r>
        <w:rPr>
          <w:rStyle w:val="25"/>
          <w:rFonts w:hint="eastAsia" w:asciiTheme="majorEastAsia" w:hAnsiTheme="majorEastAsia" w:eastAsiaTheme="majorEastAsia" w:cstheme="majorEastAsia"/>
          <w:color w:val="auto"/>
          <w:sz w:val="22"/>
          <w:szCs w:val="22"/>
          <w:highlight w:val="none"/>
        </w:rPr>
        <w:t>-4依法缴纳税收证明材料</w:t>
      </w:r>
    </w:p>
    <w:p>
      <w:pPr>
        <w:pStyle w:val="18"/>
        <w:widowControl/>
        <w:spacing w:line="480" w:lineRule="exact"/>
        <w:rPr>
          <w:rFonts w:asciiTheme="majorEastAsia" w:hAnsiTheme="majorEastAsia" w:eastAsiaTheme="majorEastAsia" w:cstheme="majorEastAsia"/>
          <w:color w:val="auto"/>
          <w:sz w:val="32"/>
          <w:szCs w:val="32"/>
          <w:highlight w:val="none"/>
        </w:rPr>
      </w:pPr>
      <w:r>
        <w:rPr>
          <w:rFonts w:hint="eastAsia" w:asciiTheme="majorEastAsia" w:hAnsiTheme="majorEastAsia" w:eastAsiaTheme="majorEastAsia" w:cstheme="majorEastAsia"/>
          <w:color w:val="auto"/>
          <w:sz w:val="32"/>
          <w:szCs w:val="32"/>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hint="eastAsia" w:asciiTheme="majorEastAsia" w:hAnsiTheme="majorEastAsia" w:eastAsiaTheme="majorEastAsia" w:cstheme="majorEastAsia"/>
          <w:color w:val="auto"/>
          <w:highlight w:val="none"/>
        </w:rPr>
        <w:t>致：</w:t>
      </w:r>
      <w:r>
        <w:rPr>
          <w:rFonts w:hint="eastAsia" w:asciiTheme="majorEastAsia" w:hAnsiTheme="majorEastAsia" w:eastAsiaTheme="majorEastAsia" w:cstheme="majorEastAsia"/>
          <w:color w:val="auto"/>
          <w:highlight w:val="none"/>
          <w:u w:val="single"/>
        </w:rPr>
        <w:t>          </w:t>
      </w:r>
      <w:r>
        <w:rPr>
          <w:rFonts w:ascii="宋体" w:hAnsi="宋体" w:eastAsia="宋体" w:cs="宋体"/>
          <w:color w:val="auto"/>
          <w:kern w:val="0"/>
          <w:szCs w:val="21"/>
          <w:highlight w:val="none"/>
          <w:u w:val="single"/>
        </w:rPr>
        <w:t>（采购人或采购代理机构） </w:t>
      </w:r>
    </w:p>
    <w:p>
      <w:pPr>
        <w:pStyle w:val="18"/>
        <w:keepNext w:val="0"/>
        <w:keepLines w:val="0"/>
        <w:pageBreakBefore w:val="0"/>
        <w:widowControl/>
        <w:kinsoku/>
        <w:wordWrap/>
        <w:overflowPunct/>
        <w:topLinePunct w:val="0"/>
        <w:autoSpaceDE/>
        <w:autoSpaceDN/>
        <w:bidi w:val="0"/>
        <w:adjustRightInd/>
        <w:snapToGrid/>
        <w:spacing w:beforeAutospacing="0" w:afterAutospacing="0" w:line="400" w:lineRule="exact"/>
        <w:ind w:firstLine="420"/>
        <w:textAlignment w:val="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1、依法缴纳税收的投标人</w:t>
      </w:r>
    </w:p>
    <w:p>
      <w:pPr>
        <w:pStyle w:val="18"/>
        <w:keepNext w:val="0"/>
        <w:keepLines w:val="0"/>
        <w:pageBreakBefore w:val="0"/>
        <w:widowControl/>
        <w:kinsoku/>
        <w:wordWrap/>
        <w:overflowPunct/>
        <w:topLinePunct w:val="0"/>
        <w:autoSpaceDE/>
        <w:autoSpaceDN/>
        <w:bidi w:val="0"/>
        <w:adjustRightInd/>
        <w:snapToGrid/>
        <w:spacing w:beforeAutospacing="0" w:afterAutospacing="0" w:line="400" w:lineRule="exact"/>
        <w:ind w:firstLine="420"/>
        <w:textAlignment w:val="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）法人（包括企业、事业单位和社会团体）的</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20"/>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现附上自</w:t>
      </w:r>
      <w:r>
        <w:rPr>
          <w:rFonts w:ascii="宋体" w:hAnsi="宋体" w:eastAsia="宋体" w:cs="宋体"/>
          <w:color w:val="auto"/>
          <w:kern w:val="0"/>
          <w:sz w:val="24"/>
          <w:szCs w:val="24"/>
          <w:highlight w:val="none"/>
          <w:u w:val="single"/>
        </w:rPr>
        <w:t>    </w:t>
      </w:r>
      <w:r>
        <w:rPr>
          <w:rFonts w:ascii="宋体" w:hAnsi="宋体" w:eastAsia="宋体" w:cs="宋体"/>
          <w:color w:val="auto"/>
          <w:kern w:val="0"/>
          <w:sz w:val="24"/>
          <w:szCs w:val="24"/>
          <w:highlight w:val="none"/>
        </w:rPr>
        <w:t>年</w:t>
      </w:r>
      <w:r>
        <w:rPr>
          <w:rFonts w:ascii="宋体" w:hAnsi="宋体" w:eastAsia="宋体" w:cs="宋体"/>
          <w:color w:val="auto"/>
          <w:kern w:val="0"/>
          <w:sz w:val="24"/>
          <w:szCs w:val="24"/>
          <w:highlight w:val="none"/>
          <w:u w:val="single"/>
        </w:rPr>
        <w:t>   </w:t>
      </w:r>
      <w:r>
        <w:rPr>
          <w:rFonts w:ascii="宋体" w:hAnsi="宋体" w:eastAsia="宋体" w:cs="宋体"/>
          <w:color w:val="auto"/>
          <w:kern w:val="0"/>
          <w:sz w:val="24"/>
          <w:szCs w:val="24"/>
          <w:highlight w:val="none"/>
        </w:rPr>
        <w:t>月</w:t>
      </w:r>
      <w:r>
        <w:rPr>
          <w:rFonts w:ascii="宋体" w:hAnsi="宋体" w:eastAsia="宋体" w:cs="宋体"/>
          <w:color w:val="auto"/>
          <w:kern w:val="0"/>
          <w:sz w:val="24"/>
          <w:szCs w:val="24"/>
          <w:highlight w:val="none"/>
          <w:u w:val="single"/>
        </w:rPr>
        <w:t>   </w:t>
      </w:r>
      <w:r>
        <w:rPr>
          <w:rFonts w:ascii="宋体" w:hAnsi="宋体" w:eastAsia="宋体" w:cs="宋体"/>
          <w:color w:val="auto"/>
          <w:kern w:val="0"/>
          <w:sz w:val="24"/>
          <w:szCs w:val="24"/>
          <w:highlight w:val="none"/>
        </w:rPr>
        <w:t>日至</w:t>
      </w:r>
      <w:r>
        <w:rPr>
          <w:rFonts w:ascii="宋体" w:hAnsi="宋体" w:eastAsia="宋体" w:cs="宋体"/>
          <w:color w:val="auto"/>
          <w:kern w:val="0"/>
          <w:sz w:val="24"/>
          <w:szCs w:val="24"/>
          <w:highlight w:val="none"/>
          <w:u w:val="single"/>
        </w:rPr>
        <w:t>    </w:t>
      </w:r>
      <w:r>
        <w:rPr>
          <w:rFonts w:ascii="宋体" w:hAnsi="宋体" w:eastAsia="宋体" w:cs="宋体"/>
          <w:color w:val="auto"/>
          <w:kern w:val="0"/>
          <w:sz w:val="24"/>
          <w:szCs w:val="24"/>
          <w:highlight w:val="none"/>
        </w:rPr>
        <w:t>年</w:t>
      </w:r>
      <w:r>
        <w:rPr>
          <w:rFonts w:ascii="宋体" w:hAnsi="宋体" w:eastAsia="宋体" w:cs="宋体"/>
          <w:color w:val="auto"/>
          <w:kern w:val="0"/>
          <w:sz w:val="24"/>
          <w:szCs w:val="24"/>
          <w:highlight w:val="none"/>
          <w:u w:val="single"/>
        </w:rPr>
        <w:t>   </w:t>
      </w:r>
      <w:r>
        <w:rPr>
          <w:rFonts w:ascii="宋体" w:hAnsi="宋体" w:eastAsia="宋体" w:cs="宋体"/>
          <w:color w:val="auto"/>
          <w:kern w:val="0"/>
          <w:sz w:val="24"/>
          <w:szCs w:val="24"/>
          <w:highlight w:val="none"/>
        </w:rPr>
        <w:t>月</w:t>
      </w:r>
      <w:r>
        <w:rPr>
          <w:rFonts w:ascii="宋体" w:hAnsi="宋体" w:eastAsia="宋体" w:cs="宋体"/>
          <w:color w:val="auto"/>
          <w:kern w:val="0"/>
          <w:sz w:val="24"/>
          <w:szCs w:val="24"/>
          <w:highlight w:val="none"/>
          <w:u w:val="single"/>
        </w:rPr>
        <w:t>   </w:t>
      </w:r>
      <w:r>
        <w:rPr>
          <w:rFonts w:ascii="宋体" w:hAnsi="宋体" w:eastAsia="宋体" w:cs="宋体"/>
          <w:color w:val="auto"/>
          <w:kern w:val="0"/>
          <w:sz w:val="24"/>
          <w:szCs w:val="24"/>
          <w:highlight w:val="none"/>
        </w:rPr>
        <w:t>日期间我方缴纳</w:t>
      </w:r>
      <w:r>
        <w:rPr>
          <w:rFonts w:ascii="宋体" w:hAnsi="宋体" w:eastAsia="宋体" w:cs="宋体"/>
          <w:color w:val="auto"/>
          <w:kern w:val="0"/>
          <w:sz w:val="24"/>
          <w:szCs w:val="24"/>
          <w:highlight w:val="none"/>
          <w:u w:val="single"/>
        </w:rPr>
        <w:t>（包括但不限于税务机关出具的专用收据、税收缴纳证明或税收代缴银行的缴款收讫凭证）等</w:t>
      </w:r>
      <w:r>
        <w:rPr>
          <w:rFonts w:ascii="宋体" w:hAnsi="宋体" w:eastAsia="宋体" w:cs="宋体"/>
          <w:color w:val="auto"/>
          <w:kern w:val="0"/>
          <w:sz w:val="24"/>
          <w:szCs w:val="24"/>
          <w:highlight w:val="none"/>
        </w:rPr>
        <w:t>税收凭据复印件，上述证明材料真实有效，否则我方负全部责任。</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20"/>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）非法人（包括其他组织、自然人）的</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20"/>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现附上自</w:t>
      </w:r>
      <w:r>
        <w:rPr>
          <w:rFonts w:ascii="宋体" w:hAnsi="宋体" w:eastAsia="宋体" w:cs="宋体"/>
          <w:color w:val="auto"/>
          <w:kern w:val="0"/>
          <w:sz w:val="24"/>
          <w:szCs w:val="24"/>
          <w:highlight w:val="none"/>
          <w:u w:val="single"/>
        </w:rPr>
        <w:t>    </w:t>
      </w:r>
      <w:r>
        <w:rPr>
          <w:rFonts w:ascii="宋体" w:hAnsi="宋体" w:eastAsia="宋体" w:cs="宋体"/>
          <w:color w:val="auto"/>
          <w:kern w:val="0"/>
          <w:sz w:val="24"/>
          <w:szCs w:val="24"/>
          <w:highlight w:val="none"/>
        </w:rPr>
        <w:t>年</w:t>
      </w:r>
      <w:r>
        <w:rPr>
          <w:rFonts w:ascii="宋体" w:hAnsi="宋体" w:eastAsia="宋体" w:cs="宋体"/>
          <w:color w:val="auto"/>
          <w:kern w:val="0"/>
          <w:sz w:val="24"/>
          <w:szCs w:val="24"/>
          <w:highlight w:val="none"/>
          <w:u w:val="single"/>
        </w:rPr>
        <w:t>   </w:t>
      </w:r>
      <w:r>
        <w:rPr>
          <w:rFonts w:ascii="宋体" w:hAnsi="宋体" w:eastAsia="宋体" w:cs="宋体"/>
          <w:color w:val="auto"/>
          <w:kern w:val="0"/>
          <w:sz w:val="24"/>
          <w:szCs w:val="24"/>
          <w:highlight w:val="none"/>
        </w:rPr>
        <w:t>月</w:t>
      </w:r>
      <w:r>
        <w:rPr>
          <w:rFonts w:ascii="宋体" w:hAnsi="宋体" w:eastAsia="宋体" w:cs="宋体"/>
          <w:color w:val="auto"/>
          <w:kern w:val="0"/>
          <w:sz w:val="24"/>
          <w:szCs w:val="24"/>
          <w:highlight w:val="none"/>
          <w:u w:val="single"/>
        </w:rPr>
        <w:t>   </w:t>
      </w:r>
      <w:r>
        <w:rPr>
          <w:rFonts w:ascii="宋体" w:hAnsi="宋体" w:eastAsia="宋体" w:cs="宋体"/>
          <w:color w:val="auto"/>
          <w:kern w:val="0"/>
          <w:sz w:val="24"/>
          <w:szCs w:val="24"/>
          <w:highlight w:val="none"/>
        </w:rPr>
        <w:t>日至</w:t>
      </w:r>
      <w:r>
        <w:rPr>
          <w:rFonts w:ascii="宋体" w:hAnsi="宋体" w:eastAsia="宋体" w:cs="宋体"/>
          <w:color w:val="auto"/>
          <w:kern w:val="0"/>
          <w:sz w:val="24"/>
          <w:szCs w:val="24"/>
          <w:highlight w:val="none"/>
          <w:u w:val="single"/>
        </w:rPr>
        <w:t>    </w:t>
      </w:r>
      <w:r>
        <w:rPr>
          <w:rFonts w:ascii="宋体" w:hAnsi="宋体" w:eastAsia="宋体" w:cs="宋体"/>
          <w:color w:val="auto"/>
          <w:kern w:val="0"/>
          <w:sz w:val="24"/>
          <w:szCs w:val="24"/>
          <w:highlight w:val="none"/>
        </w:rPr>
        <w:t>年</w:t>
      </w:r>
      <w:r>
        <w:rPr>
          <w:rFonts w:ascii="宋体" w:hAnsi="宋体" w:eastAsia="宋体" w:cs="宋体"/>
          <w:color w:val="auto"/>
          <w:kern w:val="0"/>
          <w:sz w:val="24"/>
          <w:szCs w:val="24"/>
          <w:highlight w:val="none"/>
          <w:u w:val="single"/>
        </w:rPr>
        <w:t>   </w:t>
      </w:r>
      <w:r>
        <w:rPr>
          <w:rFonts w:ascii="宋体" w:hAnsi="宋体" w:eastAsia="宋体" w:cs="宋体"/>
          <w:color w:val="auto"/>
          <w:kern w:val="0"/>
          <w:sz w:val="24"/>
          <w:szCs w:val="24"/>
          <w:highlight w:val="none"/>
        </w:rPr>
        <w:t>月</w:t>
      </w:r>
      <w:r>
        <w:rPr>
          <w:rFonts w:ascii="宋体" w:hAnsi="宋体" w:eastAsia="宋体" w:cs="宋体"/>
          <w:color w:val="auto"/>
          <w:kern w:val="0"/>
          <w:sz w:val="24"/>
          <w:szCs w:val="24"/>
          <w:highlight w:val="none"/>
          <w:u w:val="single"/>
        </w:rPr>
        <w:t>   </w:t>
      </w:r>
      <w:r>
        <w:rPr>
          <w:rFonts w:ascii="宋体" w:hAnsi="宋体" w:eastAsia="宋体" w:cs="宋体"/>
          <w:color w:val="auto"/>
          <w:kern w:val="0"/>
          <w:sz w:val="24"/>
          <w:szCs w:val="24"/>
          <w:highlight w:val="none"/>
        </w:rPr>
        <w:t>日期间我方缴纳</w:t>
      </w:r>
      <w:r>
        <w:rPr>
          <w:rFonts w:ascii="宋体" w:hAnsi="宋体" w:eastAsia="宋体" w:cs="宋体"/>
          <w:color w:val="auto"/>
          <w:kern w:val="0"/>
          <w:sz w:val="24"/>
          <w:szCs w:val="24"/>
          <w:highlight w:val="none"/>
          <w:u w:val="single"/>
        </w:rPr>
        <w:t>（包括但不限于税务机关出具的专用收据、税收缴纳证明或税收代缴银行的缴款收讫凭证）等</w:t>
      </w:r>
      <w:r>
        <w:rPr>
          <w:rFonts w:ascii="宋体" w:hAnsi="宋体" w:eastAsia="宋体" w:cs="宋体"/>
          <w:color w:val="auto"/>
          <w:kern w:val="0"/>
          <w:sz w:val="24"/>
          <w:szCs w:val="24"/>
          <w:highlight w:val="none"/>
        </w:rPr>
        <w:t>税收凭据复印件，上述证明材料真实有效，否则我方负全部责任。</w:t>
      </w:r>
    </w:p>
    <w:p>
      <w:pPr>
        <w:pStyle w:val="18"/>
        <w:keepNext w:val="0"/>
        <w:keepLines w:val="0"/>
        <w:pageBreakBefore w:val="0"/>
        <w:widowControl/>
        <w:kinsoku/>
        <w:wordWrap/>
        <w:overflowPunct/>
        <w:topLinePunct w:val="0"/>
        <w:autoSpaceDE/>
        <w:autoSpaceDN/>
        <w:bidi w:val="0"/>
        <w:adjustRightInd/>
        <w:snapToGrid/>
        <w:spacing w:beforeAutospacing="0" w:afterAutospacing="0" w:line="400" w:lineRule="exact"/>
        <w:ind w:firstLine="420"/>
        <w:textAlignment w:val="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2、依法免税的投标人</w:t>
      </w:r>
    </w:p>
    <w:p>
      <w:pPr>
        <w:pStyle w:val="18"/>
        <w:keepNext w:val="0"/>
        <w:keepLines w:val="0"/>
        <w:pageBreakBefore w:val="0"/>
        <w:widowControl/>
        <w:kinsoku/>
        <w:wordWrap/>
        <w:overflowPunct/>
        <w:topLinePunct w:val="0"/>
        <w:autoSpaceDE/>
        <w:autoSpaceDN/>
        <w:bidi w:val="0"/>
        <w:adjustRightInd/>
        <w:snapToGrid/>
        <w:spacing w:beforeAutospacing="0" w:afterAutospacing="0" w:line="400" w:lineRule="exact"/>
        <w:ind w:firstLine="420"/>
        <w:textAlignment w:val="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）现附上我方依法免税证明材料复印件，上述证明材料真实有效，否则我方负全部责任。</w:t>
      </w:r>
    </w:p>
    <w:p>
      <w:pPr>
        <w:pStyle w:val="18"/>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注意：</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1、请投标人按照实际情况编制填写，在相应的（）中打“√”，并按照本格式的要求提供相应证明材料的复印件。</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2、投标人提供的税收凭据复印件应符合下列规定：</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2.1投标截止时间前（不含投标截止时间的当月）已依法缴纳税收的投标人，提供投标截止时间前六个月（不含投标截止时间的当月）中任一月份的税收凭据复印件。</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2.2投标截止时间的当月成立且已依法缴纳税收的投标人，提供投标截止时间当月的税收凭据复印件。</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2.3投标截止时间的当月成立但因税务机关原因导致其尚未依法缴纳税收的投标人，提供依法缴纳税收承诺书（格式自拟），该承诺书视同税收凭据。</w:t>
      </w:r>
    </w:p>
    <w:p>
      <w:pPr>
        <w:pStyle w:val="18"/>
        <w:widowControl/>
        <w:spacing w:line="40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0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投标人：</w:t>
      </w:r>
      <w:r>
        <w:rPr>
          <w:rFonts w:hint="eastAsia" w:asciiTheme="majorEastAsia" w:hAnsiTheme="majorEastAsia" w:eastAsiaTheme="majorEastAsia" w:cstheme="majorEastAsia"/>
          <w:color w:val="auto"/>
          <w:highlight w:val="none"/>
          <w:u w:val="single"/>
        </w:rPr>
        <w:t>（全称并加盖单位公章）</w:t>
      </w:r>
    </w:p>
    <w:p>
      <w:pPr>
        <w:pStyle w:val="18"/>
        <w:widowControl/>
        <w:spacing w:line="40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投标人代表签字：</w:t>
      </w:r>
      <w:r>
        <w:rPr>
          <w:rFonts w:hint="eastAsia" w:asciiTheme="majorEastAsia" w:hAnsiTheme="majorEastAsia" w:eastAsiaTheme="majorEastAsia" w:cstheme="majorEastAsia"/>
          <w:color w:val="auto"/>
          <w:highlight w:val="none"/>
          <w:u w:val="single"/>
        </w:rPr>
        <w:t>         </w:t>
      </w:r>
    </w:p>
    <w:p>
      <w:pPr>
        <w:pStyle w:val="18"/>
        <w:widowControl/>
        <w:spacing w:line="40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日期：</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年</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月</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日</w:t>
      </w:r>
    </w:p>
    <w:p>
      <w:pPr>
        <w:pStyle w:val="18"/>
        <w:widowControl/>
        <w:spacing w:line="480" w:lineRule="exact"/>
        <w:jc w:val="center"/>
        <w:rPr>
          <w:rFonts w:asciiTheme="majorEastAsia" w:hAnsiTheme="majorEastAsia" w:eastAsiaTheme="majorEastAsia" w:cstheme="majorEastAsia"/>
          <w:color w:val="auto"/>
          <w:sz w:val="36"/>
          <w:szCs w:val="36"/>
          <w:highlight w:val="none"/>
        </w:rPr>
      </w:pPr>
      <w:r>
        <w:rPr>
          <w:rStyle w:val="25"/>
          <w:rFonts w:hint="eastAsia" w:asciiTheme="majorEastAsia" w:hAnsiTheme="majorEastAsia" w:eastAsiaTheme="majorEastAsia" w:cstheme="majorEastAsia"/>
          <w:color w:val="auto"/>
          <w:highlight w:val="none"/>
        </w:rPr>
        <w:t>二-5依法缴纳社会保障资金证明材料</w:t>
      </w:r>
    </w:p>
    <w:p>
      <w:pPr>
        <w:pStyle w:val="18"/>
        <w:widowControl/>
        <w:spacing w:line="40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致：</w:t>
      </w:r>
      <w:r>
        <w:rPr>
          <w:rFonts w:hint="eastAsia" w:asciiTheme="majorEastAsia" w:hAnsiTheme="majorEastAsia" w:eastAsiaTheme="majorEastAsia" w:cstheme="majorEastAsia"/>
          <w:color w:val="auto"/>
          <w:highlight w:val="none"/>
          <w:u w:val="single"/>
        </w:rPr>
        <w:t>      </w:t>
      </w:r>
      <w:r>
        <w:rPr>
          <w:rFonts w:ascii="宋体" w:hAnsi="宋体" w:eastAsia="宋体" w:cs="宋体"/>
          <w:color w:val="auto"/>
          <w:kern w:val="0"/>
          <w:szCs w:val="21"/>
          <w:highlight w:val="none"/>
          <w:u w:val="single"/>
        </w:rPr>
        <w:t> （采购人或采购代理机构）</w:t>
      </w:r>
      <w:r>
        <w:rPr>
          <w:rFonts w:hint="eastAsia" w:asciiTheme="majorEastAsia" w:hAnsiTheme="majorEastAsia" w:eastAsiaTheme="majorEastAsia" w:cstheme="majorEastAsia"/>
          <w:color w:val="auto"/>
          <w:highlight w:val="none"/>
          <w:u w:val="single"/>
        </w:rPr>
        <w:t xml:space="preserve">          </w:t>
      </w:r>
    </w:p>
    <w:p>
      <w:pPr>
        <w:pStyle w:val="18"/>
        <w:keepNext w:val="0"/>
        <w:keepLines w:val="0"/>
        <w:pageBreakBefore w:val="0"/>
        <w:widowControl/>
        <w:kinsoku/>
        <w:wordWrap/>
        <w:overflowPunct/>
        <w:topLinePunct w:val="0"/>
        <w:autoSpaceDE/>
        <w:autoSpaceDN/>
        <w:bidi w:val="0"/>
        <w:adjustRightInd/>
        <w:snapToGrid/>
        <w:spacing w:line="380" w:lineRule="exact"/>
        <w:ind w:firstLine="420"/>
        <w:textAlignment w:val="auto"/>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1、依法缴纳社会保障资金的投标人</w:t>
      </w:r>
    </w:p>
    <w:p>
      <w:pPr>
        <w:pStyle w:val="18"/>
        <w:keepNext w:val="0"/>
        <w:keepLines w:val="0"/>
        <w:pageBreakBefore w:val="0"/>
        <w:widowControl/>
        <w:kinsoku/>
        <w:wordWrap/>
        <w:overflowPunct/>
        <w:topLinePunct w:val="0"/>
        <w:autoSpaceDE/>
        <w:autoSpaceDN/>
        <w:bidi w:val="0"/>
        <w:adjustRightInd/>
        <w:snapToGrid/>
        <w:spacing w:line="380" w:lineRule="exact"/>
        <w:ind w:firstLine="420"/>
        <w:textAlignment w:val="auto"/>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）法人（包括企业、事业单位和社会团体）的</w:t>
      </w:r>
    </w:p>
    <w:p>
      <w:pPr>
        <w:pStyle w:val="18"/>
        <w:keepNext w:val="0"/>
        <w:keepLines w:val="0"/>
        <w:pageBreakBefore w:val="0"/>
        <w:widowControl/>
        <w:kinsoku/>
        <w:wordWrap/>
        <w:overflowPunct/>
        <w:topLinePunct w:val="0"/>
        <w:autoSpaceDE/>
        <w:autoSpaceDN/>
        <w:bidi w:val="0"/>
        <w:adjustRightInd/>
        <w:snapToGrid/>
        <w:spacing w:line="380" w:lineRule="exact"/>
        <w:ind w:firstLine="420"/>
        <w:textAlignment w:val="auto"/>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现附上自</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年</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月</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日至</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年</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月</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日我方缴纳的社会保险凭据（限：税务机关/社会保障资金管理机关的专用收据或社会保险缴纳清单，或社会保险的银行缴款收讫凭证）复印件，上述证明材料真实有效，否则我方负全部责任。</w:t>
      </w:r>
    </w:p>
    <w:p>
      <w:pPr>
        <w:pStyle w:val="18"/>
        <w:keepNext w:val="0"/>
        <w:keepLines w:val="0"/>
        <w:pageBreakBefore w:val="0"/>
        <w:widowControl/>
        <w:kinsoku/>
        <w:wordWrap/>
        <w:overflowPunct/>
        <w:topLinePunct w:val="0"/>
        <w:autoSpaceDE/>
        <w:autoSpaceDN/>
        <w:bidi w:val="0"/>
        <w:adjustRightInd/>
        <w:snapToGrid/>
        <w:spacing w:line="380" w:lineRule="exact"/>
        <w:ind w:firstLine="420"/>
        <w:textAlignment w:val="auto"/>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）非法人（包括其他组织、自然人）的</w:t>
      </w:r>
    </w:p>
    <w:p>
      <w:pPr>
        <w:pStyle w:val="18"/>
        <w:keepNext w:val="0"/>
        <w:keepLines w:val="0"/>
        <w:pageBreakBefore w:val="0"/>
        <w:widowControl/>
        <w:kinsoku/>
        <w:wordWrap/>
        <w:overflowPunct/>
        <w:topLinePunct w:val="0"/>
        <w:autoSpaceDE/>
        <w:autoSpaceDN/>
        <w:bidi w:val="0"/>
        <w:adjustRightInd/>
        <w:snapToGrid/>
        <w:spacing w:line="380" w:lineRule="exact"/>
        <w:ind w:firstLine="420"/>
        <w:textAlignment w:val="auto"/>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自</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年</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月</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日至</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年</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月</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日我方缴纳的社会保险凭据（限：税务机关/社会保障资金管理机关的专用收据或社会保险缴纳清单，或社会保险的银行缴款收讫凭证）复印件，上述证明材料真实有效，否则我方负全部责任。</w:t>
      </w:r>
    </w:p>
    <w:p>
      <w:pPr>
        <w:pStyle w:val="18"/>
        <w:keepNext w:val="0"/>
        <w:keepLines w:val="0"/>
        <w:pageBreakBefore w:val="0"/>
        <w:widowControl/>
        <w:kinsoku/>
        <w:wordWrap/>
        <w:overflowPunct/>
        <w:topLinePunct w:val="0"/>
        <w:autoSpaceDE/>
        <w:autoSpaceDN/>
        <w:bidi w:val="0"/>
        <w:adjustRightInd/>
        <w:snapToGrid/>
        <w:spacing w:line="380" w:lineRule="exact"/>
        <w:ind w:firstLine="420"/>
        <w:textAlignment w:val="auto"/>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2、依法不需要缴纳社会保障资金的投标人</w:t>
      </w:r>
    </w:p>
    <w:p>
      <w:pPr>
        <w:pStyle w:val="18"/>
        <w:keepNext w:val="0"/>
        <w:keepLines w:val="0"/>
        <w:pageBreakBefore w:val="0"/>
        <w:widowControl/>
        <w:kinsoku/>
        <w:wordWrap/>
        <w:overflowPunct/>
        <w:topLinePunct w:val="0"/>
        <w:autoSpaceDE/>
        <w:autoSpaceDN/>
        <w:bidi w:val="0"/>
        <w:adjustRightInd/>
        <w:snapToGrid/>
        <w:spacing w:beforeAutospacing="0" w:afterAutospacing="0" w:line="400" w:lineRule="exact"/>
        <w:ind w:firstLine="420"/>
        <w:textAlignment w:val="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highlight w:val="none"/>
        </w:rPr>
        <w:t>（ ）现附上我方依法不需要缴纳社会保障资金证明材料复印件，上述证明</w:t>
      </w:r>
      <w:r>
        <w:rPr>
          <w:rFonts w:hint="eastAsia" w:asciiTheme="majorEastAsia" w:hAnsiTheme="majorEastAsia" w:eastAsiaTheme="majorEastAsia" w:cstheme="majorEastAsia"/>
          <w:color w:val="auto"/>
          <w:sz w:val="24"/>
          <w:szCs w:val="24"/>
          <w:highlight w:val="none"/>
        </w:rPr>
        <w:t>材料真实有效，否则我方负全部责任。</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注意：</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1、请投标人按照实际情况编制填写，在相应的（）中打“√”，并按照本格式的要求提供相应证明材料的复印件。</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2、投标人提供的社会保险凭据复印件应符合下列规定：</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2.1投标截止时间前（不含投标截止时间的当月）已依法缴纳社会保障资金的投标人，提供投标截止时间前六个月（不含投标截止时间的当月）中任一月份的社会保险凭据复印件。</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2.2投标截止时间的当月成立且已依法缴纳社会保障资金的投标人，提供投标截止时间当月的社会保险凭据复印件。</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2.3投标截止时间的当月成立但因税务机关</w:t>
      </w:r>
      <w:r>
        <w:rPr>
          <w:rFonts w:ascii="Calibri" w:hAnsi="Calibri" w:eastAsia="宋体" w:cs="宋体"/>
          <w:color w:val="auto"/>
          <w:kern w:val="0"/>
          <w:sz w:val="24"/>
          <w:szCs w:val="24"/>
          <w:highlight w:val="none"/>
        </w:rPr>
        <w:t>/</w:t>
      </w:r>
      <w:r>
        <w:rPr>
          <w:rFonts w:ascii="宋体" w:hAnsi="宋体" w:eastAsia="宋体" w:cs="宋体"/>
          <w:color w:val="auto"/>
          <w:kern w:val="0"/>
          <w:sz w:val="24"/>
          <w:szCs w:val="24"/>
          <w:highlight w:val="none"/>
        </w:rPr>
        <w:t>社会保障资金管理机关原因导致其尚未依法缴纳社会保障资金的投标人，提供依法缴纳社会保障资金承诺书（格式自拟），该承诺书视同社会保险凭据。</w:t>
      </w:r>
    </w:p>
    <w:p>
      <w:pPr>
        <w:pStyle w:val="18"/>
        <w:widowControl/>
        <w:spacing w:line="400" w:lineRule="exact"/>
        <w:rPr>
          <w:rFonts w:hint="eastAsia" w:asciiTheme="majorEastAsia" w:hAnsiTheme="majorEastAsia" w:eastAsiaTheme="majorEastAsia" w:cstheme="majorEastAsia"/>
          <w:color w:val="auto"/>
          <w:highlight w:val="none"/>
        </w:rPr>
      </w:pPr>
    </w:p>
    <w:p>
      <w:pPr>
        <w:pStyle w:val="18"/>
        <w:widowControl/>
        <w:spacing w:line="40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投标人：</w:t>
      </w:r>
      <w:r>
        <w:rPr>
          <w:rFonts w:hint="eastAsia" w:asciiTheme="majorEastAsia" w:hAnsiTheme="majorEastAsia" w:eastAsiaTheme="majorEastAsia" w:cstheme="majorEastAsia"/>
          <w:color w:val="auto"/>
          <w:highlight w:val="none"/>
          <w:u w:val="single"/>
        </w:rPr>
        <w:t>（全称并加盖单位公章）</w:t>
      </w:r>
    </w:p>
    <w:p>
      <w:pPr>
        <w:pStyle w:val="18"/>
        <w:widowControl/>
        <w:spacing w:line="40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投标人代表签字：</w:t>
      </w:r>
      <w:r>
        <w:rPr>
          <w:rFonts w:hint="eastAsia" w:asciiTheme="majorEastAsia" w:hAnsiTheme="majorEastAsia" w:eastAsiaTheme="majorEastAsia" w:cstheme="majorEastAsia"/>
          <w:color w:val="auto"/>
          <w:highlight w:val="none"/>
          <w:u w:val="single"/>
        </w:rPr>
        <w:t>        </w:t>
      </w:r>
    </w:p>
    <w:p>
      <w:pPr>
        <w:pStyle w:val="18"/>
        <w:widowControl/>
        <w:spacing w:line="400" w:lineRule="exact"/>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日期：</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年</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月</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日</w:t>
      </w:r>
    </w:p>
    <w:p>
      <w:pPr>
        <w:pStyle w:val="18"/>
        <w:widowControl/>
        <w:spacing w:line="400" w:lineRule="exact"/>
        <w:rPr>
          <w:rFonts w:hint="eastAsia" w:asciiTheme="majorEastAsia" w:hAnsiTheme="majorEastAsia" w:eastAsiaTheme="majorEastAsia" w:cstheme="majorEastAsia"/>
          <w:color w:val="auto"/>
          <w:highlight w:val="none"/>
        </w:rPr>
      </w:pPr>
    </w:p>
    <w:p>
      <w:pPr>
        <w:pStyle w:val="18"/>
        <w:widowControl/>
        <w:spacing w:line="400" w:lineRule="exact"/>
        <w:rPr>
          <w:rFonts w:hint="eastAsia" w:asciiTheme="majorEastAsia" w:hAnsiTheme="majorEastAsia" w:eastAsiaTheme="majorEastAsia" w:cstheme="majorEastAsia"/>
          <w:color w:val="auto"/>
          <w:highlight w:val="none"/>
        </w:rPr>
      </w:pPr>
    </w:p>
    <w:p>
      <w:pPr>
        <w:pStyle w:val="18"/>
        <w:widowControl/>
        <w:spacing w:line="400" w:lineRule="exact"/>
        <w:rPr>
          <w:rFonts w:hint="eastAsia"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二</w:t>
      </w:r>
      <w:r>
        <w:rPr>
          <w:rStyle w:val="25"/>
          <w:rFonts w:hint="eastAsia" w:asciiTheme="majorEastAsia" w:hAnsiTheme="majorEastAsia" w:eastAsiaTheme="majorEastAsia" w:cstheme="majorEastAsia"/>
          <w:color w:val="auto"/>
          <w:sz w:val="21"/>
          <w:szCs w:val="21"/>
          <w:highlight w:val="none"/>
        </w:rPr>
        <w:t>-6具备履行合同所必需设备和专业技术能力的声明函（若有）</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致：</w:t>
      </w:r>
      <w:r>
        <w:rPr>
          <w:rFonts w:hint="eastAsia" w:asciiTheme="majorEastAsia" w:hAnsiTheme="majorEastAsia" w:eastAsiaTheme="majorEastAsia" w:cstheme="majorEastAsia"/>
          <w:color w:val="auto"/>
          <w:highlight w:val="none"/>
          <w:u w:val="single"/>
        </w:rPr>
        <w:t>       </w:t>
      </w:r>
      <w:r>
        <w:rPr>
          <w:rFonts w:ascii="宋体" w:hAnsi="宋体" w:eastAsia="宋体" w:cs="宋体"/>
          <w:color w:val="auto"/>
          <w:kern w:val="0"/>
          <w:szCs w:val="21"/>
          <w:highlight w:val="none"/>
          <w:u w:val="single"/>
        </w:rPr>
        <w:t> （采购人或采购代理机构）</w:t>
      </w:r>
      <w:r>
        <w:rPr>
          <w:rFonts w:hint="eastAsia" w:asciiTheme="majorEastAsia" w:hAnsiTheme="majorEastAsia" w:eastAsiaTheme="majorEastAsia" w:cstheme="majorEastAsia"/>
          <w:color w:val="auto"/>
          <w:highlight w:val="none"/>
          <w:u w:val="single"/>
        </w:rPr>
        <w:t xml:space="preserve">        </w:t>
      </w:r>
    </w:p>
    <w:p>
      <w:pPr>
        <w:pStyle w:val="18"/>
        <w:widowControl/>
        <w:spacing w:line="480" w:lineRule="exact"/>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我方具备履行合同所必需的设备和专业技术能力，否则产生不利后果由我方承担责任。</w:t>
      </w:r>
    </w:p>
    <w:p>
      <w:pPr>
        <w:pStyle w:val="18"/>
        <w:widowControl/>
        <w:spacing w:line="480" w:lineRule="exact"/>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特此声明。</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※注意：</w:t>
      </w:r>
    </w:p>
    <w:p>
      <w:pPr>
        <w:pStyle w:val="18"/>
        <w:widowControl/>
        <w:spacing w:line="480" w:lineRule="exact"/>
        <w:ind w:firstLine="42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1、招标文件未要求投标人提供“具备履行合同所必需的设备和专业技术能力专项证明材料”的，投标人应提供本声明函。</w:t>
      </w:r>
    </w:p>
    <w:p>
      <w:pPr>
        <w:pStyle w:val="18"/>
        <w:widowControl/>
        <w:spacing w:line="480" w:lineRule="exact"/>
        <w:ind w:firstLine="42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2、招标文件要求投标人提供“具备履行合同所必需的设备和专业技术能力专项证明材料”的，投标人可不提供本声明函。</w:t>
      </w:r>
    </w:p>
    <w:p>
      <w:pPr>
        <w:pStyle w:val="18"/>
        <w:widowControl/>
        <w:spacing w:line="480" w:lineRule="exact"/>
        <w:ind w:firstLine="42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3、请投标人根据实际情况如实声明，否则视为提供虚假材料。</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投标人：</w:t>
      </w:r>
      <w:r>
        <w:rPr>
          <w:rFonts w:hint="eastAsia" w:asciiTheme="majorEastAsia" w:hAnsiTheme="majorEastAsia" w:eastAsiaTheme="majorEastAsia" w:cstheme="majorEastAsia"/>
          <w:color w:val="auto"/>
          <w:highlight w:val="none"/>
          <w:u w:val="single"/>
        </w:rPr>
        <w:t>（全称并加盖单位公章）</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投标人代表签字：</w:t>
      </w:r>
      <w:r>
        <w:rPr>
          <w:rFonts w:hint="eastAsia" w:asciiTheme="majorEastAsia" w:hAnsiTheme="majorEastAsia" w:eastAsiaTheme="majorEastAsia" w:cstheme="majorEastAsia"/>
          <w:color w:val="auto"/>
          <w:highlight w:val="none"/>
          <w:u w:val="singl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日期：</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年</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月</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日</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二</w:t>
      </w:r>
      <w:r>
        <w:rPr>
          <w:rStyle w:val="25"/>
          <w:rFonts w:hint="eastAsia" w:asciiTheme="majorEastAsia" w:hAnsiTheme="majorEastAsia" w:eastAsiaTheme="majorEastAsia" w:cstheme="majorEastAsia"/>
          <w:color w:val="auto"/>
          <w:highlight w:val="none"/>
        </w:rPr>
        <w:t>-7参加采购活动前三年内在经营活动中没有重大违法记录书面声明</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致：</w:t>
      </w:r>
      <w:r>
        <w:rPr>
          <w:rFonts w:ascii="宋体" w:hAnsi="宋体" w:eastAsia="宋体" w:cs="宋体"/>
          <w:color w:val="auto"/>
          <w:kern w:val="0"/>
          <w:sz w:val="24"/>
          <w:szCs w:val="24"/>
          <w:highlight w:val="none"/>
          <w:u w:val="single"/>
        </w:rPr>
        <w:t>           （采购人或采购代理机构） </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参加采购活动前三年内，我方在经营活动中没有重大违法记录，即没有因违法经营受到刑事处罚或责令停产停业、吊销许可证或执照、较大数额罚款等行政处罚。否则产生不利后果由我方承担责任。</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特此声明。</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Calibri" w:hAnsi="Calibri" w:eastAsia="宋体" w:cs="宋体"/>
          <w:color w:val="auto"/>
          <w:kern w:val="0"/>
          <w:sz w:val="24"/>
          <w:szCs w:val="24"/>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注意：</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请投标人根据实际情况如实声明，否则</w:t>
      </w:r>
      <w:r>
        <w:rPr>
          <w:rFonts w:ascii="宋体" w:hAnsi="宋体" w:eastAsia="宋体" w:cs="宋体"/>
          <w:b/>
          <w:bCs/>
          <w:color w:val="auto"/>
          <w:kern w:val="0"/>
          <w:sz w:val="24"/>
          <w:szCs w:val="24"/>
          <w:highlight w:val="none"/>
        </w:rPr>
        <w:t>视为提供虚假材料。</w:t>
      </w:r>
    </w:p>
    <w:p>
      <w:pPr>
        <w:pStyle w:val="18"/>
        <w:widowControl/>
        <w:spacing w:line="480" w:lineRule="exact"/>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w:t>
      </w:r>
    </w:p>
    <w:p>
      <w:pPr>
        <w:pStyle w:val="18"/>
        <w:widowControl/>
        <w:spacing w:line="480" w:lineRule="exact"/>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w:t>
      </w:r>
    </w:p>
    <w:p>
      <w:pPr>
        <w:pStyle w:val="18"/>
        <w:widowControl/>
        <w:spacing w:line="480" w:lineRule="exact"/>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投标人：</w:t>
      </w:r>
      <w:r>
        <w:rPr>
          <w:rFonts w:hint="eastAsia" w:asciiTheme="majorEastAsia" w:hAnsiTheme="majorEastAsia" w:eastAsiaTheme="majorEastAsia" w:cstheme="majorEastAsia"/>
          <w:color w:val="auto"/>
          <w:sz w:val="24"/>
          <w:szCs w:val="24"/>
          <w:highlight w:val="none"/>
          <w:u w:val="single"/>
        </w:rPr>
        <w:t>（全称并加盖单位公章）</w:t>
      </w:r>
    </w:p>
    <w:p>
      <w:pPr>
        <w:pStyle w:val="18"/>
        <w:widowControl/>
        <w:spacing w:line="480" w:lineRule="exact"/>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投标人代表签字：</w:t>
      </w:r>
      <w:r>
        <w:rPr>
          <w:rFonts w:hint="eastAsia" w:asciiTheme="majorEastAsia" w:hAnsiTheme="majorEastAsia" w:eastAsiaTheme="majorEastAsia" w:cstheme="majorEastAsia"/>
          <w:color w:val="auto"/>
          <w:sz w:val="24"/>
          <w:szCs w:val="24"/>
          <w:highlight w:val="none"/>
          <w:u w:val="single"/>
        </w:rPr>
        <w:t>        </w:t>
      </w:r>
    </w:p>
    <w:p>
      <w:pPr>
        <w:pStyle w:val="18"/>
        <w:widowControl/>
        <w:spacing w:line="480" w:lineRule="exact"/>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日期：</w:t>
      </w:r>
      <w:r>
        <w:rPr>
          <w:rFonts w:hint="eastAsia" w:asciiTheme="majorEastAsia" w:hAnsiTheme="majorEastAsia" w:eastAsiaTheme="majorEastAsia" w:cstheme="majorEastAsia"/>
          <w:color w:val="auto"/>
          <w:sz w:val="24"/>
          <w:szCs w:val="24"/>
          <w:highlight w:val="none"/>
          <w:u w:val="single"/>
        </w:rPr>
        <w:t>    </w:t>
      </w:r>
      <w:r>
        <w:rPr>
          <w:rFonts w:hint="eastAsia" w:asciiTheme="majorEastAsia" w:hAnsiTheme="majorEastAsia" w:eastAsiaTheme="majorEastAsia" w:cstheme="majorEastAsia"/>
          <w:color w:val="auto"/>
          <w:sz w:val="24"/>
          <w:szCs w:val="24"/>
          <w:highlight w:val="none"/>
        </w:rPr>
        <w:t>年</w:t>
      </w:r>
      <w:r>
        <w:rPr>
          <w:rFonts w:hint="eastAsia" w:asciiTheme="majorEastAsia" w:hAnsiTheme="majorEastAsia" w:eastAsiaTheme="majorEastAsia" w:cstheme="majorEastAsia"/>
          <w:color w:val="auto"/>
          <w:sz w:val="24"/>
          <w:szCs w:val="24"/>
          <w:highlight w:val="none"/>
          <w:u w:val="single"/>
        </w:rPr>
        <w:t>   </w:t>
      </w:r>
      <w:r>
        <w:rPr>
          <w:rFonts w:hint="eastAsia" w:asciiTheme="majorEastAsia" w:hAnsiTheme="majorEastAsia" w:eastAsiaTheme="majorEastAsia" w:cstheme="majorEastAsia"/>
          <w:color w:val="auto"/>
          <w:sz w:val="24"/>
          <w:szCs w:val="24"/>
          <w:highlight w:val="none"/>
        </w:rPr>
        <w:t>月</w:t>
      </w:r>
      <w:r>
        <w:rPr>
          <w:rFonts w:hint="eastAsia" w:asciiTheme="majorEastAsia" w:hAnsiTheme="majorEastAsia" w:eastAsiaTheme="majorEastAsia" w:cstheme="majorEastAsia"/>
          <w:color w:val="auto"/>
          <w:sz w:val="24"/>
          <w:szCs w:val="24"/>
          <w:highlight w:val="none"/>
          <w:u w:val="single"/>
        </w:rPr>
        <w:t>   </w:t>
      </w:r>
      <w:r>
        <w:rPr>
          <w:rFonts w:hint="eastAsia" w:asciiTheme="majorEastAsia" w:hAnsiTheme="majorEastAsia" w:eastAsiaTheme="majorEastAsia" w:cstheme="majorEastAsia"/>
          <w:color w:val="auto"/>
          <w:sz w:val="24"/>
          <w:szCs w:val="24"/>
          <w:highlight w:val="none"/>
        </w:rPr>
        <w:t>日</w:t>
      </w:r>
    </w:p>
    <w:p>
      <w:pPr>
        <w:pStyle w:val="18"/>
        <w:widowControl/>
        <w:spacing w:line="480" w:lineRule="exact"/>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w:t>
      </w:r>
    </w:p>
    <w:p>
      <w:pPr>
        <w:pStyle w:val="18"/>
        <w:widowControl/>
        <w:spacing w:line="480" w:lineRule="exact"/>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w:t>
      </w: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二</w:t>
      </w:r>
      <w:r>
        <w:rPr>
          <w:rStyle w:val="25"/>
          <w:rFonts w:hint="eastAsia" w:asciiTheme="majorEastAsia" w:hAnsiTheme="majorEastAsia" w:eastAsiaTheme="majorEastAsia" w:cstheme="majorEastAsia"/>
          <w:color w:val="auto"/>
          <w:highlight w:val="none"/>
        </w:rPr>
        <w:t>-8信用记录查询结果</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1、由资格审查小组通过网站查询并打印投标人的信用记录。</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3、投标人应了解投标人自身的信用记录情况。当投标人受到200万以上罚款的行政处罚且该罚款不属较大数额罚款时，投标人应在投标文件中提供此项罚款不属于较大数额罚款的依据（如提供：相关法律制度的规定、行政执法机构对该罚款不属于较大数额罚款的认定或者其他有效依据）。</w:t>
      </w: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p>
    <w:p>
      <w:pPr>
        <w:spacing w:line="400" w:lineRule="exact"/>
        <w:jc w:val="center"/>
        <w:rPr>
          <w:rFonts w:asciiTheme="majorEastAsia" w:hAnsiTheme="majorEastAsia" w:eastAsiaTheme="majorEastAsia" w:cstheme="majorEastAsia"/>
          <w:b/>
          <w:color w:val="auto"/>
          <w:sz w:val="24"/>
          <w:highlight w:val="none"/>
          <w:shd w:val="clear" w:color="auto" w:fill="FFFFFF"/>
        </w:rPr>
      </w:pPr>
      <w:r>
        <w:rPr>
          <w:rStyle w:val="25"/>
          <w:rFonts w:hint="eastAsia" w:asciiTheme="majorEastAsia" w:hAnsiTheme="majorEastAsia" w:eastAsiaTheme="majorEastAsia" w:cstheme="majorEastAsia"/>
          <w:color w:val="auto"/>
          <w:sz w:val="24"/>
          <w:highlight w:val="none"/>
        </w:rPr>
        <w:t>二-9</w:t>
      </w:r>
      <w:r>
        <w:rPr>
          <w:rFonts w:hint="eastAsia" w:asciiTheme="majorEastAsia" w:hAnsiTheme="majorEastAsia" w:eastAsiaTheme="majorEastAsia" w:cstheme="majorEastAsia"/>
          <w:b/>
          <w:color w:val="auto"/>
          <w:sz w:val="24"/>
          <w:highlight w:val="none"/>
          <w:shd w:val="clear" w:color="auto" w:fill="FFFFFF"/>
        </w:rPr>
        <w:t>无行贿犯罪记录承诺函</w:t>
      </w:r>
    </w:p>
    <w:p>
      <w:pPr>
        <w:autoSpaceDN w:val="0"/>
        <w:spacing w:beforeAutospacing="1" w:afterAutospacing="1"/>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致：</w:t>
      </w:r>
      <w:r>
        <w:rPr>
          <w:rFonts w:hint="eastAsia" w:asciiTheme="majorEastAsia" w:hAnsiTheme="majorEastAsia" w:eastAsiaTheme="majorEastAsia" w:cstheme="majorEastAsia"/>
          <w:color w:val="auto"/>
          <w:sz w:val="24"/>
          <w:highlight w:val="none"/>
          <w:u w:val="single"/>
        </w:rPr>
        <w:t xml:space="preserve">              </w:t>
      </w:r>
    </w:p>
    <w:p>
      <w:pPr>
        <w:autoSpaceDN w:val="0"/>
        <w:spacing w:beforeAutospacing="1" w:afterAutospacing="1"/>
        <w:ind w:firstLine="42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我方（</w:t>
      </w:r>
      <w:r>
        <w:rPr>
          <w:rFonts w:hint="eastAsia" w:asciiTheme="majorEastAsia" w:hAnsiTheme="majorEastAsia" w:eastAsiaTheme="majorEastAsia" w:cstheme="majorEastAsia"/>
          <w:color w:val="auto"/>
          <w:sz w:val="24"/>
          <w:highlight w:val="none"/>
          <w:u w:val="single"/>
        </w:rPr>
        <w:t xml:space="preserve"> 公司名称 </w:t>
      </w:r>
      <w:r>
        <w:rPr>
          <w:rFonts w:hint="eastAsia" w:asciiTheme="majorEastAsia" w:hAnsiTheme="majorEastAsia" w:eastAsiaTheme="majorEastAsia" w:cstheme="majorEastAsia"/>
          <w:color w:val="auto"/>
          <w:sz w:val="24"/>
          <w:highlight w:val="none"/>
        </w:rPr>
        <w:t>）、（</w:t>
      </w:r>
      <w:r>
        <w:rPr>
          <w:rFonts w:hint="eastAsia" w:asciiTheme="majorEastAsia" w:hAnsiTheme="majorEastAsia" w:eastAsiaTheme="majorEastAsia" w:cstheme="majorEastAsia"/>
          <w:color w:val="auto"/>
          <w:sz w:val="24"/>
          <w:highlight w:val="none"/>
          <w:u w:val="single"/>
        </w:rPr>
        <w:t xml:space="preserve">  法定代表人 </w:t>
      </w:r>
      <w:r>
        <w:rPr>
          <w:rFonts w:hint="eastAsia" w:asciiTheme="majorEastAsia" w:hAnsiTheme="majorEastAsia" w:eastAsiaTheme="majorEastAsia" w:cstheme="majorEastAsia"/>
          <w:color w:val="auto"/>
          <w:sz w:val="24"/>
          <w:highlight w:val="none"/>
        </w:rPr>
        <w:t>）及（</w:t>
      </w:r>
      <w:r>
        <w:rPr>
          <w:rFonts w:hint="eastAsia" w:asciiTheme="majorEastAsia" w:hAnsiTheme="majorEastAsia" w:eastAsiaTheme="majorEastAsia" w:cstheme="majorEastAsia"/>
          <w:color w:val="auto"/>
          <w:sz w:val="24"/>
          <w:highlight w:val="none"/>
          <w:u w:val="single"/>
        </w:rPr>
        <w:t xml:space="preserve">  投标代表 </w:t>
      </w:r>
      <w:r>
        <w:rPr>
          <w:rFonts w:hint="eastAsia" w:asciiTheme="majorEastAsia" w:hAnsiTheme="majorEastAsia" w:eastAsiaTheme="majorEastAsia" w:cstheme="majorEastAsia"/>
          <w:color w:val="auto"/>
          <w:sz w:val="24"/>
          <w:highlight w:val="none"/>
        </w:rPr>
        <w:t>）承诺在参加采购经营活动中没有行贿犯罪记录，否则产生不利后果由我方承担责任。</w:t>
      </w:r>
    </w:p>
    <w:p>
      <w:pPr>
        <w:autoSpaceDN w:val="0"/>
        <w:spacing w:beforeAutospacing="1" w:afterAutospacing="1"/>
        <w:ind w:firstLine="42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特此承诺。</w:t>
      </w:r>
    </w:p>
    <w:p>
      <w:pPr>
        <w:autoSpaceDN w:val="0"/>
        <w:spacing w:beforeAutospacing="1" w:afterAutospacing="1"/>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 </w:t>
      </w:r>
    </w:p>
    <w:p>
      <w:pPr>
        <w:shd w:val="solid" w:color="FFFFFF" w:fill="auto"/>
        <w:autoSpaceDN w:val="0"/>
        <w:spacing w:beforeAutospacing="1" w:afterAutospacing="1" w:line="340" w:lineRule="exact"/>
        <w:rPr>
          <w:rFonts w:asciiTheme="majorEastAsia" w:hAnsiTheme="majorEastAsia" w:eastAsiaTheme="majorEastAsia" w:cstheme="majorEastAsia"/>
          <w:color w:val="auto"/>
          <w:sz w:val="24"/>
          <w:highlight w:val="none"/>
          <w:shd w:val="clear" w:color="auto" w:fill="FFFFFF"/>
        </w:rPr>
      </w:pPr>
      <w:r>
        <w:rPr>
          <w:rFonts w:hint="eastAsia" w:asciiTheme="majorEastAsia" w:hAnsiTheme="majorEastAsia" w:eastAsiaTheme="majorEastAsia" w:cstheme="majorEastAsia"/>
          <w:color w:val="auto"/>
          <w:sz w:val="24"/>
          <w:highlight w:val="none"/>
          <w:shd w:val="clear" w:color="auto" w:fill="FFFFFF"/>
        </w:rPr>
        <w:t>★注意：</w:t>
      </w:r>
    </w:p>
    <w:p>
      <w:pPr>
        <w:shd w:val="solid" w:color="FFFFFF" w:fill="auto"/>
        <w:autoSpaceDN w:val="0"/>
        <w:spacing w:beforeAutospacing="1" w:afterAutospacing="1" w:line="340" w:lineRule="exact"/>
        <w:rPr>
          <w:rFonts w:asciiTheme="majorEastAsia" w:hAnsiTheme="majorEastAsia" w:eastAsiaTheme="majorEastAsia" w:cstheme="majorEastAsia"/>
          <w:color w:val="auto"/>
          <w:sz w:val="24"/>
          <w:highlight w:val="none"/>
          <w:shd w:val="clear" w:color="auto" w:fill="FFFFFF"/>
        </w:rPr>
      </w:pPr>
      <w:r>
        <w:rPr>
          <w:rFonts w:hint="eastAsia" w:asciiTheme="majorEastAsia" w:hAnsiTheme="majorEastAsia" w:eastAsiaTheme="majorEastAsia" w:cstheme="majorEastAsia"/>
          <w:color w:val="auto"/>
          <w:sz w:val="24"/>
          <w:highlight w:val="none"/>
          <w:shd w:val="clear" w:color="auto" w:fill="FFFFFF"/>
        </w:rPr>
        <w:t>1、纸质响应文件正本中的本材料应为原件。</w:t>
      </w:r>
    </w:p>
    <w:p>
      <w:pPr>
        <w:shd w:val="solid" w:color="FFFFFF" w:fill="auto"/>
        <w:autoSpaceDN w:val="0"/>
        <w:spacing w:beforeAutospacing="1" w:afterAutospacing="1" w:line="340" w:lineRule="exact"/>
        <w:rPr>
          <w:rFonts w:asciiTheme="majorEastAsia" w:hAnsiTheme="majorEastAsia" w:eastAsiaTheme="majorEastAsia" w:cstheme="majorEastAsia"/>
          <w:color w:val="auto"/>
          <w:sz w:val="24"/>
          <w:highlight w:val="none"/>
          <w:shd w:val="clear" w:color="auto" w:fill="FFFFFF"/>
        </w:rPr>
      </w:pPr>
      <w:r>
        <w:rPr>
          <w:rFonts w:hint="eastAsia" w:asciiTheme="majorEastAsia" w:hAnsiTheme="majorEastAsia" w:eastAsiaTheme="majorEastAsia" w:cstheme="majorEastAsia"/>
          <w:color w:val="auto"/>
          <w:sz w:val="24"/>
          <w:highlight w:val="none"/>
          <w:shd w:val="clear" w:color="auto" w:fill="FFFFFF"/>
        </w:rPr>
        <w:t>2、请</w:t>
      </w:r>
      <w:r>
        <w:rPr>
          <w:rFonts w:hint="eastAsia" w:asciiTheme="majorEastAsia" w:hAnsiTheme="majorEastAsia" w:eastAsiaTheme="majorEastAsia" w:cstheme="majorEastAsia"/>
          <w:color w:val="auto"/>
          <w:sz w:val="24"/>
          <w:highlight w:val="none"/>
        </w:rPr>
        <w:t>投标人</w:t>
      </w:r>
      <w:r>
        <w:rPr>
          <w:rFonts w:hint="eastAsia" w:asciiTheme="majorEastAsia" w:hAnsiTheme="majorEastAsia" w:eastAsiaTheme="majorEastAsia" w:cstheme="majorEastAsia"/>
          <w:color w:val="auto"/>
          <w:sz w:val="24"/>
          <w:highlight w:val="none"/>
          <w:shd w:val="clear" w:color="auto" w:fill="FFFFFF"/>
        </w:rPr>
        <w:t>根据实际情况如实声明，否则</w:t>
      </w:r>
      <w:r>
        <w:rPr>
          <w:rFonts w:hint="eastAsia" w:asciiTheme="majorEastAsia" w:hAnsiTheme="majorEastAsia" w:eastAsiaTheme="majorEastAsia" w:cstheme="majorEastAsia"/>
          <w:b/>
          <w:color w:val="auto"/>
          <w:sz w:val="24"/>
          <w:highlight w:val="none"/>
          <w:shd w:val="clear" w:color="auto" w:fill="FFFFFF"/>
        </w:rPr>
        <w:t>视为提供虚假材料。</w:t>
      </w: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投标人：</w:t>
      </w:r>
      <w:r>
        <w:rPr>
          <w:rFonts w:hint="eastAsia" w:asciiTheme="majorEastAsia" w:hAnsiTheme="majorEastAsia" w:eastAsiaTheme="majorEastAsia" w:cstheme="majorEastAsia"/>
          <w:color w:val="auto"/>
          <w:highlight w:val="none"/>
          <w:u w:val="single"/>
        </w:rPr>
        <w:t>（全称并加盖单位公章）</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投标人代表签字：</w:t>
      </w:r>
      <w:r>
        <w:rPr>
          <w:rFonts w:hint="eastAsia" w:asciiTheme="majorEastAsia" w:hAnsiTheme="majorEastAsia" w:eastAsiaTheme="majorEastAsia" w:cstheme="majorEastAsia"/>
          <w:color w:val="auto"/>
          <w:highlight w:val="none"/>
          <w:u w:val="single"/>
        </w:rPr>
        <w:t>         </w:t>
      </w:r>
    </w:p>
    <w:p>
      <w:pPr>
        <w:pStyle w:val="18"/>
        <w:widowControl/>
        <w:spacing w:line="4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日期：</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年</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月</w:t>
      </w:r>
      <w:r>
        <w:rPr>
          <w:rFonts w:hint="eastAsia" w:asciiTheme="majorEastAsia" w:hAnsiTheme="majorEastAsia" w:eastAsiaTheme="majorEastAsia" w:cstheme="majorEastAsia"/>
          <w:color w:val="auto"/>
          <w:highlight w:val="none"/>
          <w:u w:val="single"/>
        </w:rPr>
        <w:t>   </w:t>
      </w:r>
      <w:r>
        <w:rPr>
          <w:rFonts w:hint="eastAsia" w:asciiTheme="majorEastAsia" w:hAnsiTheme="majorEastAsia" w:eastAsiaTheme="majorEastAsia" w:cstheme="majorEastAsia"/>
          <w:color w:val="auto"/>
          <w:highlight w:val="none"/>
        </w:rPr>
        <w:t>日</w:t>
      </w:r>
    </w:p>
    <w:p>
      <w:pPr>
        <w:pStyle w:val="18"/>
        <w:widowControl/>
        <w:spacing w:line="480" w:lineRule="exact"/>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pStyle w:val="18"/>
        <w:widowControl/>
        <w:spacing w:line="480" w:lineRule="exact"/>
        <w:jc w:val="center"/>
        <w:rPr>
          <w:rFonts w:asciiTheme="majorEastAsia" w:hAnsiTheme="majorEastAsia" w:eastAsiaTheme="majorEastAsia" w:cstheme="majorEastAsia"/>
          <w:color w:val="auto"/>
          <w:highlight w:val="none"/>
        </w:rPr>
      </w:pPr>
    </w:p>
    <w:p>
      <w:pPr>
        <w:widowControl/>
        <w:spacing w:before="150" w:after="150"/>
        <w:jc w:val="center"/>
        <w:outlineLvl w:val="3"/>
        <w:rPr>
          <w:rFonts w:ascii="宋体" w:hAnsi="宋体" w:eastAsia="宋体" w:cs="宋体"/>
          <w:b/>
          <w:bCs/>
          <w:color w:val="auto"/>
          <w:kern w:val="0"/>
          <w:sz w:val="24"/>
          <w:szCs w:val="24"/>
          <w:highlight w:val="none"/>
        </w:rPr>
      </w:pPr>
      <w:r>
        <w:rPr>
          <w:rFonts w:ascii="宋体" w:hAnsi="宋体" w:eastAsia="宋体" w:cs="宋体"/>
          <w:b/>
          <w:bCs/>
          <w:color w:val="auto"/>
          <w:kern w:val="0"/>
          <w:sz w:val="24"/>
          <w:szCs w:val="24"/>
          <w:highlight w:val="none"/>
        </w:rPr>
        <w:t>二-</w:t>
      </w:r>
      <w:r>
        <w:rPr>
          <w:rFonts w:hint="eastAsia" w:ascii="宋体" w:hAnsi="宋体" w:eastAsia="宋体" w:cs="宋体"/>
          <w:b/>
          <w:bCs/>
          <w:color w:val="auto"/>
          <w:kern w:val="0"/>
          <w:sz w:val="24"/>
          <w:szCs w:val="24"/>
          <w:highlight w:val="none"/>
          <w:lang w:val="en-US" w:eastAsia="zh-CN"/>
        </w:rPr>
        <w:t>10</w:t>
      </w:r>
      <w:r>
        <w:rPr>
          <w:rFonts w:ascii="宋体" w:hAnsi="宋体" w:eastAsia="宋体" w:cs="宋体"/>
          <w:b/>
          <w:bCs/>
          <w:color w:val="auto"/>
          <w:kern w:val="0"/>
          <w:sz w:val="24"/>
          <w:szCs w:val="24"/>
          <w:highlight w:val="none"/>
        </w:rPr>
        <w:t>中小企业声明函</w:t>
      </w:r>
    </w:p>
    <w:p>
      <w:pPr>
        <w:widowControl/>
        <w:spacing w:before="100" w:beforeAutospacing="1" w:after="240"/>
        <w:jc w:val="center"/>
        <w:rPr>
          <w:rFonts w:ascii="宋体" w:hAnsi="宋体" w:eastAsia="宋体" w:cs="宋体"/>
          <w:color w:val="auto"/>
          <w:kern w:val="0"/>
          <w:sz w:val="24"/>
          <w:szCs w:val="24"/>
          <w:highlight w:val="none"/>
        </w:rPr>
      </w:pPr>
      <w:r>
        <w:rPr>
          <w:rFonts w:ascii="宋体" w:hAnsi="宋体" w:eastAsia="宋体" w:cs="宋体"/>
          <w:b/>
          <w:bCs/>
          <w:color w:val="auto"/>
          <w:kern w:val="0"/>
          <w:sz w:val="24"/>
          <w:szCs w:val="24"/>
          <w:highlight w:val="none"/>
        </w:rPr>
        <w:t>（以资格条件落实中小企业扶持政策时适用，若有）</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中小企业声明函（货物）</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本公司（联合体）郑重声明，根据《政府采购促进中小企业发展管理办法》（财库﹝2020﹞46 号）的规定，本公司（联合体）参加</w:t>
      </w:r>
      <w:r>
        <w:rPr>
          <w:rFonts w:ascii="宋体" w:hAnsi="宋体" w:eastAsia="宋体" w:cs="宋体"/>
          <w:color w:val="auto"/>
          <w:kern w:val="0"/>
          <w:szCs w:val="21"/>
          <w:highlight w:val="none"/>
          <w:u w:val="single"/>
        </w:rPr>
        <w:t>（单位名称）</w:t>
      </w:r>
      <w:r>
        <w:rPr>
          <w:rFonts w:ascii="宋体" w:hAnsi="宋体" w:eastAsia="宋体" w:cs="宋体"/>
          <w:color w:val="auto"/>
          <w:kern w:val="0"/>
          <w:sz w:val="24"/>
          <w:szCs w:val="24"/>
          <w:highlight w:val="none"/>
        </w:rPr>
        <w:t>的</w:t>
      </w:r>
      <w:r>
        <w:rPr>
          <w:rFonts w:ascii="宋体" w:hAnsi="宋体" w:eastAsia="宋体" w:cs="宋体"/>
          <w:color w:val="auto"/>
          <w:kern w:val="0"/>
          <w:szCs w:val="21"/>
          <w:highlight w:val="none"/>
          <w:u w:val="single"/>
        </w:rPr>
        <w:t>（项目名称）</w:t>
      </w:r>
      <w:r>
        <w:rPr>
          <w:rFonts w:ascii="宋体" w:hAnsi="宋体" w:eastAsia="宋体" w:cs="宋体"/>
          <w:color w:val="auto"/>
          <w:kern w:val="0"/>
          <w:sz w:val="24"/>
          <w:szCs w:val="24"/>
          <w:highlight w:val="none"/>
        </w:rPr>
        <w:t>采购活动，提供的货物全部由符合政策要求的中小企业制造。相关企业（含联合体中的中小企业、签订分包意向协议的中小企业）的具体情况如下：</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1. </w:t>
      </w:r>
      <w:r>
        <w:rPr>
          <w:rFonts w:ascii="宋体" w:hAnsi="宋体" w:eastAsia="宋体" w:cs="宋体"/>
          <w:color w:val="auto"/>
          <w:kern w:val="0"/>
          <w:szCs w:val="21"/>
          <w:highlight w:val="none"/>
          <w:u w:val="single"/>
        </w:rPr>
        <w:t> （标的名称） </w:t>
      </w:r>
      <w:r>
        <w:rPr>
          <w:rFonts w:ascii="宋体" w:hAnsi="宋体" w:eastAsia="宋体" w:cs="宋体"/>
          <w:color w:val="auto"/>
          <w:kern w:val="0"/>
          <w:sz w:val="24"/>
          <w:szCs w:val="24"/>
          <w:highlight w:val="none"/>
        </w:rPr>
        <w:t>，属于</w:t>
      </w:r>
      <w:r>
        <w:rPr>
          <w:rFonts w:ascii="宋体" w:hAnsi="宋体" w:eastAsia="宋体" w:cs="宋体"/>
          <w:color w:val="auto"/>
          <w:kern w:val="0"/>
          <w:szCs w:val="21"/>
          <w:highlight w:val="none"/>
          <w:u w:val="single"/>
        </w:rPr>
        <w:t>（采购文件中明确的所属行业）行业</w:t>
      </w:r>
      <w:r>
        <w:rPr>
          <w:rFonts w:ascii="宋体" w:hAnsi="宋体" w:eastAsia="宋体" w:cs="宋体"/>
          <w:color w:val="auto"/>
          <w:kern w:val="0"/>
          <w:sz w:val="24"/>
          <w:szCs w:val="24"/>
          <w:highlight w:val="none"/>
        </w:rPr>
        <w:t>；制造商为</w:t>
      </w:r>
      <w:r>
        <w:rPr>
          <w:rFonts w:ascii="宋体" w:hAnsi="宋体" w:eastAsia="宋体" w:cs="宋体"/>
          <w:color w:val="auto"/>
          <w:kern w:val="0"/>
          <w:szCs w:val="21"/>
          <w:highlight w:val="none"/>
          <w:u w:val="single"/>
        </w:rPr>
        <w:t>（企业名称）</w:t>
      </w:r>
      <w:r>
        <w:rPr>
          <w:rFonts w:ascii="宋体" w:hAnsi="宋体" w:eastAsia="宋体" w:cs="宋体"/>
          <w:color w:val="auto"/>
          <w:kern w:val="0"/>
          <w:sz w:val="24"/>
          <w:szCs w:val="24"/>
          <w:highlight w:val="none"/>
        </w:rPr>
        <w:t>，从业人员</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人，营业收入为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万元，资产总额为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w:t>
      </w:r>
      <w:r>
        <w:rPr>
          <w:rFonts w:ascii="宋体" w:hAnsi="宋体" w:eastAsia="宋体" w:cs="宋体"/>
          <w:color w:val="auto"/>
          <w:kern w:val="0"/>
          <w:szCs w:val="21"/>
          <w:highlight w:val="none"/>
          <w:vertAlign w:val="superscript"/>
        </w:rPr>
        <w:t>1</w:t>
      </w:r>
      <w:r>
        <w:rPr>
          <w:rFonts w:ascii="宋体" w:hAnsi="宋体" w:eastAsia="宋体" w:cs="宋体"/>
          <w:color w:val="auto"/>
          <w:kern w:val="0"/>
          <w:sz w:val="24"/>
          <w:szCs w:val="24"/>
          <w:highlight w:val="none"/>
        </w:rPr>
        <w:t>，属于</w:t>
      </w:r>
      <w:r>
        <w:rPr>
          <w:rFonts w:ascii="宋体" w:hAnsi="宋体" w:eastAsia="宋体" w:cs="宋体"/>
          <w:color w:val="auto"/>
          <w:kern w:val="0"/>
          <w:szCs w:val="21"/>
          <w:highlight w:val="none"/>
          <w:u w:val="single"/>
        </w:rPr>
        <w:t>（中型企业、小型企业、微型企业）；</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2. </w:t>
      </w:r>
      <w:r>
        <w:rPr>
          <w:rFonts w:ascii="宋体" w:hAnsi="宋体" w:eastAsia="宋体" w:cs="宋体"/>
          <w:color w:val="auto"/>
          <w:kern w:val="0"/>
          <w:szCs w:val="21"/>
          <w:highlight w:val="none"/>
          <w:u w:val="single"/>
        </w:rPr>
        <w:t> （标的名称） </w:t>
      </w:r>
      <w:r>
        <w:rPr>
          <w:rFonts w:ascii="宋体" w:hAnsi="宋体" w:eastAsia="宋体" w:cs="宋体"/>
          <w:color w:val="auto"/>
          <w:kern w:val="0"/>
          <w:sz w:val="24"/>
          <w:szCs w:val="24"/>
          <w:highlight w:val="none"/>
        </w:rPr>
        <w:t>，属于</w:t>
      </w:r>
      <w:r>
        <w:rPr>
          <w:rFonts w:ascii="宋体" w:hAnsi="宋体" w:eastAsia="宋体" w:cs="宋体"/>
          <w:color w:val="auto"/>
          <w:kern w:val="0"/>
          <w:szCs w:val="21"/>
          <w:highlight w:val="none"/>
          <w:u w:val="single"/>
        </w:rPr>
        <w:t> （采购文件中明确的所属行业 ）行业；</w:t>
      </w:r>
      <w:r>
        <w:rPr>
          <w:rFonts w:ascii="宋体" w:hAnsi="宋体" w:eastAsia="宋体" w:cs="宋体"/>
          <w:color w:val="auto"/>
          <w:kern w:val="0"/>
          <w:sz w:val="24"/>
          <w:szCs w:val="24"/>
          <w:highlight w:val="none"/>
        </w:rPr>
        <w:t>制造商为</w:t>
      </w:r>
      <w:r>
        <w:rPr>
          <w:rFonts w:ascii="宋体" w:hAnsi="宋体" w:eastAsia="宋体" w:cs="宋体"/>
          <w:color w:val="auto"/>
          <w:kern w:val="0"/>
          <w:szCs w:val="21"/>
          <w:highlight w:val="none"/>
          <w:u w:val="single"/>
        </w:rPr>
        <w:t>（企业名称），</w:t>
      </w:r>
      <w:r>
        <w:rPr>
          <w:rFonts w:ascii="宋体" w:hAnsi="宋体" w:eastAsia="宋体" w:cs="宋体"/>
          <w:color w:val="auto"/>
          <w:kern w:val="0"/>
          <w:sz w:val="24"/>
          <w:szCs w:val="24"/>
          <w:highlight w:val="none"/>
        </w:rPr>
        <w:t>从业人员</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人，营业收入为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万元，资产总额为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万元，属于</w:t>
      </w:r>
      <w:r>
        <w:rPr>
          <w:rFonts w:ascii="宋体" w:hAnsi="宋体" w:eastAsia="宋体" w:cs="宋体"/>
          <w:color w:val="auto"/>
          <w:kern w:val="0"/>
          <w:szCs w:val="21"/>
          <w:highlight w:val="none"/>
          <w:u w:val="single"/>
        </w:rPr>
        <w:t>（中型企业、小型企业、微型企业）；</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以上企业，不属于大企业的分支机构，不存在控股股东为大企业的情形，也不存在与大企业的负责人为同一人的情形。</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本企业对上述声明内容的真实性负责。如有虚假，将依法承担相应责任。</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br w:type="textWrapping"/>
      </w:r>
      <w:r>
        <w:rPr>
          <w:rFonts w:ascii="宋体" w:hAnsi="宋体" w:eastAsia="宋体" w:cs="宋体"/>
          <w:color w:val="auto"/>
          <w:kern w:val="0"/>
          <w:szCs w:val="21"/>
          <w:highlight w:val="none"/>
        </w:rPr>
        <w:t>   企业名称（盖章）：</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日期：</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jc w:val="left"/>
        <w:rPr>
          <w:rFonts w:ascii="宋体" w:hAnsi="宋体" w:eastAsia="宋体" w:cs="宋体"/>
          <w:color w:val="auto"/>
          <w:kern w:val="0"/>
          <w:sz w:val="24"/>
          <w:szCs w:val="24"/>
          <w:highlight w:val="none"/>
        </w:rPr>
      </w:pPr>
      <w:r>
        <w:rPr>
          <w:rFonts w:hint="eastAsia" w:ascii="宋体" w:hAnsi="宋体" w:eastAsia="宋体" w:cs="宋体"/>
          <w:b/>
          <w:bCs/>
          <w:color w:val="auto"/>
          <w:kern w:val="0"/>
          <w:szCs w:val="21"/>
          <w:highlight w:val="none"/>
        </w:rPr>
        <w:t>※</w:t>
      </w:r>
      <w:r>
        <w:rPr>
          <w:rFonts w:ascii="宋体" w:hAnsi="宋体" w:eastAsia="宋体" w:cs="宋体"/>
          <w:b/>
          <w:bCs/>
          <w:color w:val="auto"/>
          <w:kern w:val="0"/>
          <w:szCs w:val="21"/>
          <w:highlight w:val="none"/>
        </w:rPr>
        <w:t>注意：</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1、从业人员、营业收入、资产总额填报上一年度数据，无上一年度数据的新成立企业可不填报。</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widowControl/>
        <w:spacing w:before="100" w:beforeAutospacing="1" w:after="240"/>
        <w:jc w:val="left"/>
        <w:rPr>
          <w:rFonts w:ascii="宋体" w:hAnsi="宋体" w:eastAsia="宋体" w:cs="宋体"/>
          <w:color w:val="auto"/>
          <w:kern w:val="0"/>
          <w:sz w:val="24"/>
          <w:szCs w:val="24"/>
          <w:highlight w:val="none"/>
        </w:rPr>
      </w:pPr>
    </w:p>
    <w:p>
      <w:pPr>
        <w:pageBreakBefore/>
        <w:widowControl/>
        <w:spacing w:before="150" w:after="150"/>
        <w:jc w:val="center"/>
        <w:outlineLvl w:val="4"/>
        <w:rPr>
          <w:rFonts w:ascii="宋体" w:hAnsi="宋体" w:eastAsia="宋体" w:cs="宋体"/>
          <w:b/>
          <w:bCs/>
          <w:color w:val="auto"/>
          <w:kern w:val="0"/>
          <w:sz w:val="20"/>
          <w:szCs w:val="20"/>
          <w:highlight w:val="none"/>
        </w:rPr>
      </w:pPr>
      <w:r>
        <w:rPr>
          <w:rFonts w:ascii="宋体" w:hAnsi="宋体" w:eastAsia="宋体" w:cs="宋体"/>
          <w:b/>
          <w:bCs/>
          <w:color w:val="auto"/>
          <w:kern w:val="0"/>
          <w:sz w:val="24"/>
          <w:szCs w:val="24"/>
          <w:highlight w:val="none"/>
        </w:rPr>
        <w:t>中小企业声明函（工程、服务）</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本公司（联合体）郑重声明，根据《政府采购促进中小企业发展管理办法》（财库﹝2020﹞46 号）的规定，本公司（联合体）参加</w:t>
      </w:r>
      <w:r>
        <w:rPr>
          <w:rFonts w:ascii="宋体" w:hAnsi="宋体" w:eastAsia="宋体" w:cs="宋体"/>
          <w:color w:val="auto"/>
          <w:kern w:val="0"/>
          <w:szCs w:val="21"/>
          <w:highlight w:val="none"/>
          <w:u w:val="single"/>
        </w:rPr>
        <w:t>（单位名称）</w:t>
      </w:r>
      <w:r>
        <w:rPr>
          <w:rFonts w:ascii="宋体" w:hAnsi="宋体" w:eastAsia="宋体" w:cs="宋体"/>
          <w:color w:val="auto"/>
          <w:kern w:val="0"/>
          <w:sz w:val="24"/>
          <w:szCs w:val="24"/>
          <w:highlight w:val="none"/>
        </w:rPr>
        <w:t>的</w:t>
      </w:r>
      <w:r>
        <w:rPr>
          <w:rFonts w:ascii="宋体" w:hAnsi="宋体" w:eastAsia="宋体" w:cs="宋体"/>
          <w:color w:val="auto"/>
          <w:kern w:val="0"/>
          <w:szCs w:val="21"/>
          <w:highlight w:val="none"/>
          <w:u w:val="single"/>
        </w:rPr>
        <w:t>（项目名称）</w:t>
      </w:r>
      <w:r>
        <w:rPr>
          <w:rFonts w:ascii="宋体" w:hAnsi="宋体" w:eastAsia="宋体" w:cs="宋体"/>
          <w:color w:val="auto"/>
          <w:kern w:val="0"/>
          <w:sz w:val="24"/>
          <w:szCs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1. </w:t>
      </w:r>
      <w:r>
        <w:rPr>
          <w:rFonts w:ascii="宋体" w:hAnsi="宋体" w:eastAsia="宋体" w:cs="宋体"/>
          <w:color w:val="auto"/>
          <w:kern w:val="0"/>
          <w:szCs w:val="21"/>
          <w:highlight w:val="none"/>
          <w:u w:val="single"/>
        </w:rPr>
        <w:t>（标的名称）</w:t>
      </w:r>
      <w:r>
        <w:rPr>
          <w:rFonts w:ascii="宋体" w:hAnsi="宋体" w:eastAsia="宋体" w:cs="宋体"/>
          <w:color w:val="auto"/>
          <w:kern w:val="0"/>
          <w:sz w:val="24"/>
          <w:szCs w:val="24"/>
          <w:highlight w:val="none"/>
        </w:rPr>
        <w:t>，属于</w:t>
      </w:r>
      <w:r>
        <w:rPr>
          <w:rFonts w:ascii="宋体" w:hAnsi="宋体" w:eastAsia="宋体" w:cs="宋体"/>
          <w:color w:val="auto"/>
          <w:kern w:val="0"/>
          <w:szCs w:val="21"/>
          <w:highlight w:val="none"/>
          <w:u w:val="single"/>
        </w:rPr>
        <w:t>（采购文件中明确的所属行业）</w:t>
      </w:r>
      <w:r>
        <w:rPr>
          <w:rFonts w:ascii="宋体" w:hAnsi="宋体" w:eastAsia="宋体" w:cs="宋体"/>
          <w:color w:val="auto"/>
          <w:kern w:val="0"/>
          <w:sz w:val="24"/>
          <w:szCs w:val="24"/>
          <w:highlight w:val="none"/>
        </w:rPr>
        <w:t>；承建（承接）企业为</w:t>
      </w:r>
      <w:r>
        <w:rPr>
          <w:rFonts w:ascii="宋体" w:hAnsi="宋体" w:eastAsia="宋体" w:cs="宋体"/>
          <w:color w:val="auto"/>
          <w:kern w:val="0"/>
          <w:szCs w:val="21"/>
          <w:highlight w:val="none"/>
          <w:u w:val="single"/>
        </w:rPr>
        <w:t>（企业名称）</w:t>
      </w:r>
      <w:r>
        <w:rPr>
          <w:rFonts w:ascii="宋体" w:hAnsi="宋体" w:eastAsia="宋体" w:cs="宋体"/>
          <w:color w:val="auto"/>
          <w:kern w:val="0"/>
          <w:sz w:val="24"/>
          <w:szCs w:val="24"/>
          <w:highlight w:val="none"/>
        </w:rPr>
        <w:t>，从业人员</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人，营业收入为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万元，资产总额为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w:t>
      </w:r>
      <w:r>
        <w:rPr>
          <w:rFonts w:ascii="宋体" w:hAnsi="宋体" w:eastAsia="宋体" w:cs="宋体"/>
          <w:color w:val="auto"/>
          <w:kern w:val="0"/>
          <w:szCs w:val="21"/>
          <w:highlight w:val="none"/>
          <w:vertAlign w:val="superscript"/>
        </w:rPr>
        <w:t>1</w:t>
      </w:r>
      <w:r>
        <w:rPr>
          <w:rFonts w:ascii="宋体" w:hAnsi="宋体" w:eastAsia="宋体" w:cs="宋体"/>
          <w:color w:val="auto"/>
          <w:kern w:val="0"/>
          <w:sz w:val="24"/>
          <w:szCs w:val="24"/>
          <w:highlight w:val="none"/>
        </w:rPr>
        <w:t>，属于</w:t>
      </w:r>
      <w:r>
        <w:rPr>
          <w:rFonts w:ascii="宋体" w:hAnsi="宋体" w:eastAsia="宋体" w:cs="宋体"/>
          <w:color w:val="auto"/>
          <w:kern w:val="0"/>
          <w:szCs w:val="21"/>
          <w:highlight w:val="none"/>
          <w:u w:val="single"/>
        </w:rPr>
        <w:t>（中型企业、小型企业、微型企业）；</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2. </w:t>
      </w:r>
      <w:r>
        <w:rPr>
          <w:rFonts w:ascii="宋体" w:hAnsi="宋体" w:eastAsia="宋体" w:cs="宋体"/>
          <w:color w:val="auto"/>
          <w:kern w:val="0"/>
          <w:szCs w:val="21"/>
          <w:highlight w:val="none"/>
          <w:u w:val="single"/>
        </w:rPr>
        <w:t>（标的名称）</w:t>
      </w:r>
      <w:r>
        <w:rPr>
          <w:rFonts w:ascii="宋体" w:hAnsi="宋体" w:eastAsia="宋体" w:cs="宋体"/>
          <w:color w:val="auto"/>
          <w:kern w:val="0"/>
          <w:sz w:val="24"/>
          <w:szCs w:val="24"/>
          <w:highlight w:val="none"/>
        </w:rPr>
        <w:t>，属于</w:t>
      </w:r>
      <w:r>
        <w:rPr>
          <w:rFonts w:ascii="宋体" w:hAnsi="宋体" w:eastAsia="宋体" w:cs="宋体"/>
          <w:color w:val="auto"/>
          <w:kern w:val="0"/>
          <w:szCs w:val="21"/>
          <w:highlight w:val="none"/>
          <w:u w:val="single"/>
        </w:rPr>
        <w:t>（采购文件中明确的所属行业）；</w:t>
      </w:r>
      <w:r>
        <w:rPr>
          <w:rFonts w:ascii="宋体" w:hAnsi="宋体" w:eastAsia="宋体" w:cs="宋体"/>
          <w:color w:val="auto"/>
          <w:kern w:val="0"/>
          <w:sz w:val="24"/>
          <w:szCs w:val="24"/>
          <w:highlight w:val="none"/>
        </w:rPr>
        <w:t>承建（承接）企业为</w:t>
      </w:r>
      <w:r>
        <w:rPr>
          <w:rFonts w:ascii="宋体" w:hAnsi="宋体" w:eastAsia="宋体" w:cs="宋体"/>
          <w:color w:val="auto"/>
          <w:kern w:val="0"/>
          <w:szCs w:val="21"/>
          <w:highlight w:val="none"/>
          <w:u w:val="single"/>
        </w:rPr>
        <w:t>（企业名称）</w:t>
      </w:r>
      <w:r>
        <w:rPr>
          <w:rFonts w:ascii="宋体" w:hAnsi="宋体" w:eastAsia="宋体" w:cs="宋体"/>
          <w:color w:val="auto"/>
          <w:kern w:val="0"/>
          <w:sz w:val="24"/>
          <w:szCs w:val="24"/>
          <w:highlight w:val="none"/>
        </w:rPr>
        <w:t>，从业人员</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人，营业收入为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万元，资产总额为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万元，属于</w:t>
      </w:r>
      <w:r>
        <w:rPr>
          <w:rFonts w:ascii="宋体" w:hAnsi="宋体" w:eastAsia="宋体" w:cs="宋体"/>
          <w:color w:val="auto"/>
          <w:kern w:val="0"/>
          <w:szCs w:val="21"/>
          <w:highlight w:val="none"/>
          <w:u w:val="single"/>
        </w:rPr>
        <w:t>（中型企业、小型企业、微型企业）；</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以上企业，不属于大企业的分支机构，不存在控股股东为大企业的情形，也不存在与大企业的负责人为同一人的情形。</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本企业对上述声明内容的真实性负责。如有虚假，将依法承担相应责任。</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企业名称（盖章）：                                              日期：</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jc w:val="left"/>
        <w:rPr>
          <w:rFonts w:ascii="宋体" w:hAnsi="宋体" w:eastAsia="宋体" w:cs="宋体"/>
          <w:color w:val="auto"/>
          <w:kern w:val="0"/>
          <w:sz w:val="24"/>
          <w:szCs w:val="24"/>
          <w:highlight w:val="none"/>
        </w:rPr>
      </w:pPr>
      <w:r>
        <w:rPr>
          <w:rFonts w:hint="eastAsia" w:ascii="宋体" w:hAnsi="宋体" w:eastAsia="宋体" w:cs="宋体"/>
          <w:b/>
          <w:bCs/>
          <w:color w:val="auto"/>
          <w:kern w:val="0"/>
          <w:szCs w:val="21"/>
          <w:highlight w:val="none"/>
        </w:rPr>
        <w:t>※</w:t>
      </w:r>
      <w:r>
        <w:rPr>
          <w:rFonts w:ascii="宋体" w:hAnsi="宋体" w:eastAsia="宋体" w:cs="宋体"/>
          <w:b/>
          <w:bCs/>
          <w:color w:val="auto"/>
          <w:kern w:val="0"/>
          <w:szCs w:val="21"/>
          <w:highlight w:val="none"/>
        </w:rPr>
        <w:t>注意：</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1、从业人员、营业收入、资产总额填报上一年度数据，无上一年度数据的新成立企业可不填报。</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r>
        <w:rPr>
          <w:rFonts w:ascii="宋体" w:hAnsi="宋体" w:eastAsia="宋体" w:cs="宋体"/>
          <w:b/>
          <w:bCs/>
          <w:color w:val="auto"/>
          <w:kern w:val="0"/>
          <w:szCs w:val="21"/>
          <w:highlight w:val="none"/>
        </w:rPr>
        <w:br w:type="textWrapping"/>
      </w:r>
      <w:r>
        <w:rPr>
          <w:rFonts w:ascii="宋体" w:hAnsi="宋体" w:eastAsia="宋体" w:cs="宋体"/>
          <w:b/>
          <w:bCs/>
          <w:color w:val="auto"/>
          <w:kern w:val="0"/>
          <w:szCs w:val="21"/>
          <w:highlight w:val="none"/>
        </w:rPr>
        <w:t>  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r>
        <w:rPr>
          <w:rFonts w:ascii="Calibri" w:hAnsi="Calibri" w:eastAsia="宋体" w:cs="宋体"/>
          <w:b/>
          <w:bCs/>
          <w:color w:val="auto"/>
          <w:kern w:val="0"/>
          <w:szCs w:val="21"/>
          <w:highlight w:val="none"/>
        </w:rPr>
        <w:t>     </w:t>
      </w:r>
      <w:r>
        <w:rPr>
          <w:rFonts w:ascii="Calibri" w:hAnsi="Calibri" w:eastAsia="宋体" w:cs="宋体"/>
          <w:color w:val="auto"/>
          <w:kern w:val="0"/>
          <w:szCs w:val="21"/>
          <w:highlight w:val="none"/>
        </w:rPr>
        <w:t>          </w:t>
      </w:r>
    </w:p>
    <w:p>
      <w:pPr>
        <w:widowControl/>
        <w:spacing w:before="100" w:beforeAutospacing="1" w:after="240"/>
        <w:jc w:val="left"/>
        <w:rPr>
          <w:rFonts w:ascii="宋体" w:hAnsi="宋体" w:eastAsia="宋体" w:cs="宋体"/>
          <w:color w:val="auto"/>
          <w:kern w:val="0"/>
          <w:szCs w:val="21"/>
          <w:highlight w:val="none"/>
        </w:rPr>
      </w:pPr>
    </w:p>
    <w:p>
      <w:pPr>
        <w:widowControl/>
        <w:spacing w:before="100" w:beforeAutospacing="1" w:after="24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br w:type="textWrapping"/>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附：</w:t>
      </w:r>
    </w:p>
    <w:p>
      <w:pPr>
        <w:widowControl/>
        <w:spacing w:before="75" w:after="75"/>
        <w:jc w:val="center"/>
        <w:rPr>
          <w:rFonts w:ascii="宋体" w:hAnsi="宋体" w:eastAsia="宋体" w:cs="宋体"/>
          <w:color w:val="auto"/>
          <w:kern w:val="0"/>
          <w:sz w:val="24"/>
          <w:szCs w:val="24"/>
          <w:highlight w:val="none"/>
        </w:rPr>
      </w:pPr>
      <w:r>
        <w:rPr>
          <w:rFonts w:ascii="宋体" w:hAnsi="宋体" w:eastAsia="宋体" w:cs="宋体"/>
          <w:b/>
          <w:bCs/>
          <w:color w:val="auto"/>
          <w:kern w:val="0"/>
          <w:sz w:val="24"/>
          <w:szCs w:val="24"/>
          <w:highlight w:val="none"/>
        </w:rPr>
        <w:t>残疾人福利性单位声明函</w:t>
      </w:r>
    </w:p>
    <w:p>
      <w:pPr>
        <w:widowControl/>
        <w:spacing w:before="75" w:after="75"/>
        <w:jc w:val="center"/>
        <w:rPr>
          <w:rFonts w:ascii="宋体" w:hAnsi="宋体" w:eastAsia="宋体" w:cs="宋体"/>
          <w:color w:val="auto"/>
          <w:kern w:val="0"/>
          <w:sz w:val="24"/>
          <w:szCs w:val="24"/>
          <w:highlight w:val="none"/>
        </w:rPr>
      </w:pPr>
      <w:r>
        <w:rPr>
          <w:rFonts w:ascii="宋体" w:hAnsi="宋体" w:eastAsia="宋体" w:cs="宋体"/>
          <w:b/>
          <w:bCs/>
          <w:color w:val="auto"/>
          <w:kern w:val="0"/>
          <w:sz w:val="24"/>
          <w:szCs w:val="24"/>
          <w:highlight w:val="none"/>
        </w:rPr>
        <w:t>（以资格条件落实中小企业扶持政策时适用，若有）</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b/>
          <w:bCs/>
          <w:color w:val="auto"/>
          <w:kern w:val="0"/>
          <w:sz w:val="24"/>
          <w:szCs w:val="24"/>
          <w:highlight w:val="none"/>
        </w:rPr>
        <w:t> </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ascii="宋体" w:hAnsi="宋体" w:eastAsia="宋体" w:cs="宋体"/>
          <w:color w:val="auto"/>
          <w:kern w:val="0"/>
          <w:szCs w:val="21"/>
          <w:highlight w:val="none"/>
          <w:u w:val="single"/>
        </w:rPr>
        <w:t>（填写“项目名称”）</w:t>
      </w:r>
      <w:r>
        <w:rPr>
          <w:rFonts w:ascii="宋体" w:hAnsi="宋体" w:eastAsia="宋体" w:cs="宋体"/>
          <w:color w:val="auto"/>
          <w:kern w:val="0"/>
          <w:sz w:val="24"/>
          <w:szCs w:val="24"/>
          <w:highlight w:val="none"/>
        </w:rPr>
        <w:t>项目采购活动：</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）提供本投标人制造的</w:t>
      </w:r>
      <w:r>
        <w:rPr>
          <w:rFonts w:ascii="宋体" w:hAnsi="宋体" w:eastAsia="宋体" w:cs="宋体"/>
          <w:color w:val="auto"/>
          <w:kern w:val="0"/>
          <w:szCs w:val="21"/>
          <w:highlight w:val="none"/>
          <w:u w:val="single"/>
        </w:rPr>
        <w:t>（填写“所投采购包、品目号”）</w:t>
      </w:r>
      <w:r>
        <w:rPr>
          <w:rFonts w:ascii="宋体" w:hAnsi="宋体" w:eastAsia="宋体" w:cs="宋体"/>
          <w:color w:val="auto"/>
          <w:kern w:val="0"/>
          <w:sz w:val="24"/>
          <w:szCs w:val="24"/>
          <w:highlight w:val="none"/>
        </w:rPr>
        <w:t>货物，或提供其他残疾人福利性单位制造的</w:t>
      </w:r>
      <w:r>
        <w:rPr>
          <w:rFonts w:ascii="宋体" w:hAnsi="宋体" w:eastAsia="宋体" w:cs="宋体"/>
          <w:color w:val="auto"/>
          <w:kern w:val="0"/>
          <w:szCs w:val="21"/>
          <w:highlight w:val="none"/>
          <w:u w:val="single"/>
        </w:rPr>
        <w:t>（填写“所投采购包、品目号”）</w:t>
      </w:r>
      <w:r>
        <w:rPr>
          <w:rFonts w:ascii="宋体" w:hAnsi="宋体" w:eastAsia="宋体" w:cs="宋体"/>
          <w:color w:val="auto"/>
          <w:kern w:val="0"/>
          <w:sz w:val="24"/>
          <w:szCs w:val="24"/>
          <w:highlight w:val="none"/>
        </w:rPr>
        <w:t>货物（不包括使用非残疾人福利性单位注册商标的货物）。（说明：只有部分货物由残疾人福利企业制造的，在该货物后标※）</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）由本投标人承建的（填写“所投采购包、品目号”）工程</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）由本投标人承接的（填写“所投采购包、品目号”）服务；</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本投标人对上述声明的真实性负责。如有虚假，将依法承担相应责任。</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备注：</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1、请投标人按照实际情况编制填写本声明函，并在相应的（）中打“√”。</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2、若《残疾人福利性单位声明函》内容不真实，</w:t>
      </w:r>
      <w:r>
        <w:rPr>
          <w:rFonts w:ascii="宋体" w:hAnsi="宋体" w:eastAsia="宋体" w:cs="宋体"/>
          <w:b/>
          <w:bCs/>
          <w:color w:val="auto"/>
          <w:kern w:val="0"/>
          <w:sz w:val="24"/>
          <w:szCs w:val="24"/>
          <w:highlight w:val="none"/>
        </w:rPr>
        <w:t>视为提供虚假材料。</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投标人：</w:t>
      </w:r>
      <w:r>
        <w:rPr>
          <w:rFonts w:ascii="宋体" w:hAnsi="宋体" w:eastAsia="宋体" w:cs="宋体"/>
          <w:color w:val="auto"/>
          <w:kern w:val="0"/>
          <w:szCs w:val="21"/>
          <w:highlight w:val="none"/>
          <w:u w:val="single"/>
        </w:rPr>
        <w:t>（全称并加盖单位公章）</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日期：</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年</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月</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日</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pStyle w:val="2"/>
        <w:rPr>
          <w:rFonts w:ascii="宋体" w:hAnsi="宋体" w:eastAsia="宋体" w:cs="宋体"/>
          <w:color w:val="auto"/>
          <w:kern w:val="0"/>
          <w:sz w:val="24"/>
          <w:szCs w:val="24"/>
          <w:highlight w:val="none"/>
        </w:rPr>
      </w:pPr>
    </w:p>
    <w:p>
      <w:pPr>
        <w:rPr>
          <w:rFonts w:ascii="宋体" w:hAnsi="宋体" w:eastAsia="宋体" w:cs="宋体"/>
          <w:color w:val="auto"/>
          <w:kern w:val="0"/>
          <w:sz w:val="24"/>
          <w:szCs w:val="24"/>
          <w:highlight w:val="none"/>
        </w:rPr>
      </w:pPr>
    </w:p>
    <w:p>
      <w:pPr>
        <w:pStyle w:val="2"/>
        <w:rPr>
          <w:rFonts w:ascii="宋体" w:hAnsi="宋体" w:eastAsia="宋体" w:cs="宋体"/>
          <w:color w:val="auto"/>
          <w:kern w:val="0"/>
          <w:sz w:val="24"/>
          <w:szCs w:val="24"/>
          <w:highlight w:val="none"/>
        </w:rPr>
      </w:pPr>
    </w:p>
    <w:p>
      <w:pPr>
        <w:rPr>
          <w:rFonts w:ascii="宋体" w:hAnsi="宋体" w:eastAsia="宋体" w:cs="宋体"/>
          <w:color w:val="auto"/>
          <w:kern w:val="0"/>
          <w:sz w:val="24"/>
          <w:szCs w:val="24"/>
          <w:highlight w:val="none"/>
        </w:rPr>
      </w:pPr>
    </w:p>
    <w:p>
      <w:pPr>
        <w:pStyle w:val="2"/>
        <w:rPr>
          <w:rFonts w:ascii="宋体" w:hAnsi="宋体" w:eastAsia="宋体" w:cs="宋体"/>
          <w:color w:val="auto"/>
          <w:kern w:val="0"/>
          <w:sz w:val="24"/>
          <w:szCs w:val="24"/>
          <w:highlight w:val="none"/>
        </w:rPr>
      </w:pPr>
    </w:p>
    <w:p>
      <w:pPr>
        <w:rPr>
          <w:rFonts w:ascii="宋体" w:hAnsi="宋体" w:eastAsia="宋体" w:cs="宋体"/>
          <w:color w:val="auto"/>
          <w:kern w:val="0"/>
          <w:sz w:val="24"/>
          <w:szCs w:val="24"/>
          <w:highlight w:val="none"/>
        </w:rPr>
      </w:pPr>
    </w:p>
    <w:p>
      <w:pPr>
        <w:pStyle w:val="2"/>
        <w:rPr>
          <w:color w:val="auto"/>
          <w:highlight w:val="none"/>
        </w:rPr>
      </w:pP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附：                          </w:t>
      </w:r>
    </w:p>
    <w:p>
      <w:pPr>
        <w:widowControl/>
        <w:spacing w:before="75" w:after="75"/>
        <w:jc w:val="center"/>
        <w:rPr>
          <w:rFonts w:ascii="宋体" w:hAnsi="宋体" w:eastAsia="宋体" w:cs="宋体"/>
          <w:color w:val="auto"/>
          <w:kern w:val="0"/>
          <w:sz w:val="24"/>
          <w:szCs w:val="24"/>
          <w:highlight w:val="none"/>
        </w:rPr>
      </w:pPr>
      <w:r>
        <w:rPr>
          <w:rFonts w:ascii="宋体" w:hAnsi="宋体" w:eastAsia="宋体" w:cs="宋体"/>
          <w:b/>
          <w:bCs/>
          <w:color w:val="auto"/>
          <w:kern w:val="0"/>
          <w:sz w:val="24"/>
          <w:szCs w:val="24"/>
          <w:highlight w:val="none"/>
        </w:rPr>
        <w:t>监狱企业证明材料</w:t>
      </w:r>
    </w:p>
    <w:p>
      <w:pPr>
        <w:widowControl/>
        <w:spacing w:before="75" w:after="75"/>
        <w:jc w:val="center"/>
        <w:rPr>
          <w:rFonts w:ascii="宋体" w:hAnsi="宋体" w:eastAsia="宋体" w:cs="宋体"/>
          <w:color w:val="auto"/>
          <w:kern w:val="0"/>
          <w:sz w:val="24"/>
          <w:szCs w:val="24"/>
          <w:highlight w:val="none"/>
        </w:rPr>
      </w:pPr>
      <w:r>
        <w:rPr>
          <w:rFonts w:ascii="宋体" w:hAnsi="宋体" w:eastAsia="宋体" w:cs="宋体"/>
          <w:b/>
          <w:bCs/>
          <w:color w:val="auto"/>
          <w:kern w:val="0"/>
          <w:sz w:val="24"/>
          <w:szCs w:val="24"/>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shd w:val="clear" w:color="auto" w:fill="FFFFFF"/>
        </w:rPr>
        <w:t>投标人为监狱企业，提供本单位制造的货物（承接的服务），并在投标文件中提供省级以上监狱管理局、戒毒管理局（含新疆生产建设兵团）出具的属于监狱企业的证明文件。</w:t>
      </w:r>
    </w:p>
    <w:p>
      <w:pPr>
        <w:widowControl/>
        <w:spacing w:before="100" w:beforeAutospacing="1" w:after="24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br w:type="textWrapping"/>
      </w:r>
      <w:r>
        <w:rPr>
          <w:rFonts w:ascii="宋体" w:hAnsi="宋体" w:eastAsia="宋体" w:cs="宋体"/>
          <w:color w:val="auto"/>
          <w:kern w:val="0"/>
          <w:szCs w:val="21"/>
          <w:highlight w:val="none"/>
        </w:rPr>
        <w:br w:type="textWrapping"/>
      </w:r>
    </w:p>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br w:type="page"/>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二-1</w:t>
      </w:r>
      <w:r>
        <w:rPr>
          <w:rFonts w:hint="eastAsia" w:ascii="宋体" w:hAnsi="宋体" w:eastAsia="宋体" w:cs="宋体"/>
          <w:b/>
          <w:bCs/>
          <w:color w:val="auto"/>
          <w:kern w:val="0"/>
          <w:szCs w:val="21"/>
          <w:highlight w:val="none"/>
          <w:lang w:val="en-US" w:eastAsia="zh-CN"/>
        </w:rPr>
        <w:t>1</w:t>
      </w:r>
      <w:r>
        <w:rPr>
          <w:rFonts w:ascii="宋体" w:hAnsi="宋体" w:eastAsia="宋体" w:cs="宋体"/>
          <w:b/>
          <w:bCs/>
          <w:color w:val="auto"/>
          <w:kern w:val="0"/>
          <w:szCs w:val="21"/>
          <w:highlight w:val="none"/>
        </w:rPr>
        <w:t>联合体协议</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致：</w:t>
      </w:r>
      <w:r>
        <w:rPr>
          <w:rFonts w:ascii="宋体" w:hAnsi="宋体" w:eastAsia="宋体" w:cs="宋体"/>
          <w:color w:val="auto"/>
          <w:kern w:val="0"/>
          <w:szCs w:val="21"/>
          <w:highlight w:val="none"/>
          <w:u w:val="single"/>
        </w:rPr>
        <w:t>           （采购人或采购代理机构） </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兹有</w:t>
      </w:r>
      <w:r>
        <w:rPr>
          <w:rFonts w:ascii="宋体" w:hAnsi="宋体" w:eastAsia="宋体" w:cs="宋体"/>
          <w:color w:val="auto"/>
          <w:kern w:val="0"/>
          <w:szCs w:val="21"/>
          <w:highlight w:val="none"/>
          <w:u w:val="single"/>
        </w:rPr>
        <w:t>（填写“联合体中各方的全称”，各方的全称之间请用“、”分割）</w:t>
      </w:r>
      <w:r>
        <w:rPr>
          <w:rFonts w:ascii="宋体" w:hAnsi="宋体" w:eastAsia="宋体" w:cs="宋体"/>
          <w:color w:val="auto"/>
          <w:kern w:val="0"/>
          <w:szCs w:val="21"/>
          <w:highlight w:val="none"/>
        </w:rPr>
        <w:t>自愿组成联合体，共同参加</w:t>
      </w:r>
      <w:r>
        <w:rPr>
          <w:rFonts w:ascii="宋体" w:hAnsi="宋体" w:eastAsia="宋体" w:cs="宋体"/>
          <w:color w:val="auto"/>
          <w:kern w:val="0"/>
          <w:szCs w:val="21"/>
          <w:highlight w:val="none"/>
          <w:u w:val="single"/>
        </w:rPr>
        <w:t xml:space="preserve">（填写“项目名称”） </w:t>
      </w:r>
      <w:r>
        <w:rPr>
          <w:rFonts w:ascii="宋体" w:hAnsi="宋体" w:eastAsia="宋体" w:cs="宋体"/>
          <w:color w:val="auto"/>
          <w:kern w:val="0"/>
          <w:szCs w:val="21"/>
          <w:highlight w:val="none"/>
        </w:rPr>
        <w:t>项目（项目编号：</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）的投标。现就联合体参加本项目投标的有关事宜达成下列协议：</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一、联合体各方应承担的工作和义务具体如下：</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1、牵头方（</w:t>
      </w:r>
      <w:r>
        <w:rPr>
          <w:rFonts w:ascii="宋体" w:hAnsi="宋体" w:eastAsia="宋体" w:cs="宋体"/>
          <w:color w:val="auto"/>
          <w:kern w:val="0"/>
          <w:szCs w:val="21"/>
          <w:highlight w:val="none"/>
          <w:u w:val="single"/>
        </w:rPr>
        <w:t>全称</w:t>
      </w:r>
      <w:r>
        <w:rPr>
          <w:rFonts w:ascii="宋体" w:hAnsi="宋体" w:eastAsia="宋体" w:cs="宋体"/>
          <w:color w:val="auto"/>
          <w:kern w:val="0"/>
          <w:szCs w:val="21"/>
          <w:highlight w:val="none"/>
        </w:rPr>
        <w:t>）：</w:t>
      </w:r>
      <w:r>
        <w:rPr>
          <w:rFonts w:ascii="宋体" w:hAnsi="宋体" w:eastAsia="宋体" w:cs="宋体"/>
          <w:color w:val="auto"/>
          <w:kern w:val="0"/>
          <w:szCs w:val="21"/>
          <w:highlight w:val="none"/>
          <w:u w:val="single"/>
        </w:rPr>
        <w:t xml:space="preserve"> （填写“工作及义务的具体内容”） </w:t>
      </w:r>
      <w:r>
        <w:rPr>
          <w:rFonts w:ascii="宋体" w:hAnsi="宋体" w:eastAsia="宋体" w:cs="宋体"/>
          <w:color w:val="auto"/>
          <w:kern w:val="0"/>
          <w:szCs w:val="21"/>
          <w:highlight w:val="none"/>
        </w:rPr>
        <w:t>；</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2、成员方：</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2.1</w:t>
      </w:r>
      <w:r>
        <w:rPr>
          <w:rFonts w:ascii="宋体" w:hAnsi="宋体" w:eastAsia="宋体" w:cs="宋体"/>
          <w:color w:val="auto"/>
          <w:kern w:val="0"/>
          <w:szCs w:val="21"/>
          <w:highlight w:val="none"/>
          <w:u w:val="single"/>
        </w:rPr>
        <w:t>（成员一的全称）</w:t>
      </w:r>
      <w:r>
        <w:rPr>
          <w:rFonts w:ascii="宋体" w:hAnsi="宋体" w:eastAsia="宋体" w:cs="宋体"/>
          <w:color w:val="auto"/>
          <w:kern w:val="0"/>
          <w:szCs w:val="21"/>
          <w:highlight w:val="none"/>
        </w:rPr>
        <w:t>：</w:t>
      </w:r>
      <w:r>
        <w:rPr>
          <w:rFonts w:ascii="宋体" w:hAnsi="宋体" w:eastAsia="宋体" w:cs="宋体"/>
          <w:color w:val="auto"/>
          <w:kern w:val="0"/>
          <w:szCs w:val="21"/>
          <w:highlight w:val="none"/>
          <w:u w:val="single"/>
        </w:rPr>
        <w:t xml:space="preserve"> （填写“工作及义务的具体内容”） </w:t>
      </w:r>
      <w:r>
        <w:rPr>
          <w:rFonts w:ascii="宋体" w:hAnsi="宋体" w:eastAsia="宋体" w:cs="宋体"/>
          <w:color w:val="auto"/>
          <w:kern w:val="0"/>
          <w:szCs w:val="21"/>
          <w:highlight w:val="none"/>
        </w:rPr>
        <w:t>；</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t>……</w:t>
      </w:r>
      <w:r>
        <w:rPr>
          <w:rFonts w:ascii="宋体" w:hAnsi="宋体" w:eastAsia="宋体" w:cs="宋体"/>
          <w:color w:val="auto"/>
          <w:kern w:val="0"/>
          <w:szCs w:val="21"/>
          <w:highlight w:val="none"/>
        </w:rPr>
        <w:t>。</w:t>
      </w:r>
    </w:p>
    <w:p>
      <w:pPr>
        <w:widowControl/>
        <w:spacing w:before="75" w:after="75" w:line="360" w:lineRule="auto"/>
        <w:ind w:firstLine="43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二、联合体各方的合同金额占比，具体如下：</w:t>
      </w:r>
    </w:p>
    <w:p>
      <w:pPr>
        <w:widowControl/>
        <w:spacing w:before="100" w:beforeAutospacing="1" w:after="100" w:afterAutospacing="1" w:line="360" w:lineRule="auto"/>
        <w:ind w:firstLine="435"/>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1.牵头方（</w:t>
      </w:r>
      <w:r>
        <w:rPr>
          <w:rFonts w:ascii="宋体" w:hAnsi="宋体" w:eastAsia="宋体" w:cs="宋体"/>
          <w:color w:val="auto"/>
          <w:kern w:val="0"/>
          <w:szCs w:val="21"/>
          <w:highlight w:val="none"/>
          <w:u w:val="single"/>
        </w:rPr>
        <w:t xml:space="preserve">  全称 </w:t>
      </w:r>
      <w:r>
        <w:rPr>
          <w:rFonts w:ascii="宋体" w:hAnsi="宋体" w:eastAsia="宋体" w:cs="宋体"/>
          <w:color w:val="auto"/>
          <w:kern w:val="0"/>
          <w:szCs w:val="21"/>
          <w:highlight w:val="none"/>
        </w:rPr>
        <w:t>）的合同金额占合同总额的＿%；</w:t>
      </w:r>
    </w:p>
    <w:p>
      <w:pPr>
        <w:widowControl/>
        <w:spacing w:before="100" w:beforeAutospacing="1" w:after="100" w:afterAutospacing="1" w:line="360" w:lineRule="auto"/>
        <w:ind w:firstLine="435"/>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2.成员方：</w:t>
      </w:r>
    </w:p>
    <w:p>
      <w:pPr>
        <w:widowControl/>
        <w:spacing w:before="100" w:beforeAutospacing="1" w:after="100" w:afterAutospacing="1" w:line="360" w:lineRule="auto"/>
        <w:ind w:firstLine="435"/>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2.1（</w:t>
      </w:r>
      <w:r>
        <w:rPr>
          <w:rFonts w:ascii="宋体" w:hAnsi="宋体" w:eastAsia="宋体" w:cs="宋体"/>
          <w:color w:val="auto"/>
          <w:kern w:val="0"/>
          <w:szCs w:val="21"/>
          <w:highlight w:val="none"/>
          <w:u w:val="single"/>
        </w:rPr>
        <w:t xml:space="preserve"> 成员1的全称 </w:t>
      </w:r>
      <w:r>
        <w:rPr>
          <w:rFonts w:ascii="宋体" w:hAnsi="宋体" w:eastAsia="宋体" w:cs="宋体"/>
          <w:color w:val="auto"/>
          <w:kern w:val="0"/>
          <w:szCs w:val="21"/>
          <w:highlight w:val="none"/>
        </w:rPr>
        <w:t>）的合同金额占合同总额的＿%；</w:t>
      </w:r>
    </w:p>
    <w:p>
      <w:pPr>
        <w:widowControl/>
        <w:spacing w:before="75" w:after="75" w:line="360" w:lineRule="auto"/>
        <w:ind w:firstLine="435"/>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三、联合体各方约定：</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1、由</w:t>
      </w:r>
      <w:r>
        <w:rPr>
          <w:rFonts w:ascii="宋体" w:hAnsi="宋体" w:eastAsia="宋体" w:cs="宋体"/>
          <w:color w:val="auto"/>
          <w:kern w:val="0"/>
          <w:szCs w:val="21"/>
          <w:highlight w:val="none"/>
          <w:u w:val="single"/>
        </w:rPr>
        <w:t>（填写“牵头方的全称”）</w:t>
      </w:r>
      <w:r>
        <w:rPr>
          <w:rFonts w:ascii="宋体" w:hAnsi="宋体" w:eastAsia="宋体" w:cs="宋体"/>
          <w:color w:val="auto"/>
          <w:kern w:val="0"/>
          <w:szCs w:val="21"/>
          <w:highlight w:val="none"/>
        </w:rPr>
        <w:t>代表联合体办理参加本项目投标的有关事宜（包括但不限于：注册账号、派出投标人代表、提交投标文件及参加开标、谈判、澄清等），在此过程中，投标人代表签字的一切文件和处理结果，联合体均予以认可并对此承担责任。</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2、联合体各方约定由</w:t>
      </w:r>
      <w:r>
        <w:rPr>
          <w:rFonts w:ascii="宋体" w:hAnsi="宋体" w:eastAsia="宋体" w:cs="宋体"/>
          <w:color w:val="auto"/>
          <w:kern w:val="0"/>
          <w:szCs w:val="21"/>
          <w:highlight w:val="none"/>
          <w:u w:val="single"/>
        </w:rPr>
        <w:t>（填写“牵头方的全称”）</w:t>
      </w:r>
      <w:r>
        <w:rPr>
          <w:rFonts w:ascii="宋体" w:hAnsi="宋体" w:eastAsia="宋体" w:cs="宋体"/>
          <w:color w:val="auto"/>
          <w:kern w:val="0"/>
          <w:szCs w:val="21"/>
          <w:highlight w:val="none"/>
        </w:rPr>
        <w:t>代表联合体办理投标保证金事宜。</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3、</w:t>
      </w:r>
      <w:r>
        <w:rPr>
          <w:rFonts w:ascii="宋体" w:hAnsi="宋体" w:eastAsia="宋体" w:cs="宋体"/>
          <w:color w:val="auto"/>
          <w:kern w:val="0"/>
          <w:sz w:val="24"/>
          <w:szCs w:val="24"/>
          <w:highlight w:val="none"/>
        </w:rPr>
        <w:t>根据福建省财政厅文件（闽财购[2008]10号）的规定，若本项目采用综合评分法，则联合体只能确定由其中一方的条件参与商务部分的评标。因此，联合体各方约定以</w:t>
      </w:r>
      <w:r>
        <w:rPr>
          <w:rFonts w:ascii="宋体" w:hAnsi="宋体" w:eastAsia="宋体" w:cs="宋体"/>
          <w:color w:val="auto"/>
          <w:kern w:val="0"/>
          <w:szCs w:val="21"/>
          <w:highlight w:val="none"/>
          <w:u w:val="single"/>
        </w:rPr>
        <w:t>（应填写“其中一方的全称”，如：联合体确定以成员一的条件参与商务部分的评标，则填写“成员一的全称”…；否则填写“无”）</w:t>
      </w:r>
      <w:r>
        <w:rPr>
          <w:rFonts w:ascii="宋体" w:hAnsi="宋体" w:eastAsia="宋体" w:cs="宋体"/>
          <w:color w:val="auto"/>
          <w:kern w:val="0"/>
          <w:szCs w:val="21"/>
          <w:highlight w:val="none"/>
        </w:rPr>
        <w:t>的条件参与商务部分的评标。</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四、若中标，牵头方将代表联合体与采购人就合同签订事宜进行协商；若协商一致，则联合体各方将共同与采购人签订政府采购合同，并就政府采购合同约定的事项对采购人承担连带责任。</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五、本协议自签署之日起生效，政府采购合同履行完毕后自动失效。</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六、本协议一式</w:t>
      </w:r>
      <w:r>
        <w:rPr>
          <w:rFonts w:ascii="宋体" w:hAnsi="宋体" w:eastAsia="宋体" w:cs="宋体"/>
          <w:color w:val="auto"/>
          <w:kern w:val="0"/>
          <w:szCs w:val="21"/>
          <w:highlight w:val="none"/>
          <w:u w:val="single"/>
        </w:rPr>
        <w:t>（填写具体份数）</w:t>
      </w:r>
      <w:r>
        <w:rPr>
          <w:rFonts w:ascii="宋体" w:hAnsi="宋体" w:eastAsia="宋体" w:cs="宋体"/>
          <w:color w:val="auto"/>
          <w:kern w:val="0"/>
          <w:szCs w:val="21"/>
          <w:highlight w:val="none"/>
        </w:rPr>
        <w:t>份，联合体各方各执一份，投标文件中提交一份。</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（以下无正文）</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牵头方：</w:t>
      </w:r>
      <w:r>
        <w:rPr>
          <w:rFonts w:ascii="宋体" w:hAnsi="宋体" w:eastAsia="宋体" w:cs="宋体"/>
          <w:color w:val="auto"/>
          <w:kern w:val="0"/>
          <w:szCs w:val="21"/>
          <w:highlight w:val="none"/>
          <w:u w:val="single"/>
        </w:rPr>
        <w:t>（全称并加盖单位公章）</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法定代表人或其委托代理人：</w:t>
      </w:r>
      <w:r>
        <w:rPr>
          <w:rFonts w:ascii="宋体" w:hAnsi="宋体" w:eastAsia="宋体" w:cs="宋体"/>
          <w:color w:val="auto"/>
          <w:kern w:val="0"/>
          <w:szCs w:val="21"/>
          <w:highlight w:val="none"/>
          <w:u w:val="single"/>
        </w:rPr>
        <w:t>  （签字或盖章）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成员一：</w:t>
      </w:r>
      <w:r>
        <w:rPr>
          <w:rFonts w:ascii="宋体" w:hAnsi="宋体" w:eastAsia="宋体" w:cs="宋体"/>
          <w:color w:val="auto"/>
          <w:kern w:val="0"/>
          <w:szCs w:val="21"/>
          <w:highlight w:val="none"/>
          <w:u w:val="single"/>
        </w:rPr>
        <w:t>（全称并加盖成员一的单位公章）</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法定代表人或其委托代理人：</w:t>
      </w:r>
      <w:r>
        <w:rPr>
          <w:rFonts w:ascii="宋体" w:hAnsi="宋体" w:eastAsia="宋体" w:cs="宋体"/>
          <w:color w:val="auto"/>
          <w:kern w:val="0"/>
          <w:szCs w:val="21"/>
          <w:highlight w:val="none"/>
          <w:u w:val="single"/>
        </w:rPr>
        <w:t>  （签字或盖章）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成员**：</w:t>
      </w:r>
      <w:r>
        <w:rPr>
          <w:rFonts w:ascii="宋体" w:hAnsi="宋体" w:eastAsia="宋体" w:cs="宋体"/>
          <w:color w:val="auto"/>
          <w:kern w:val="0"/>
          <w:szCs w:val="21"/>
          <w:highlight w:val="none"/>
          <w:u w:val="single"/>
        </w:rPr>
        <w:t>（全称并加盖成员**的单位公章）</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法定代表人或其委托代理人：</w:t>
      </w:r>
      <w:r>
        <w:rPr>
          <w:rFonts w:ascii="宋体" w:hAnsi="宋体" w:eastAsia="宋体" w:cs="宋体"/>
          <w:color w:val="auto"/>
          <w:kern w:val="0"/>
          <w:szCs w:val="21"/>
          <w:highlight w:val="none"/>
          <w:u w:val="single"/>
        </w:rPr>
        <w:t>  （签字或盖章）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righ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签署日期：</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年</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月</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日</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hint="eastAsia" w:ascii="宋体" w:hAnsi="宋体" w:eastAsia="宋体" w:cs="宋体"/>
          <w:color w:val="auto"/>
          <w:kern w:val="0"/>
          <w:szCs w:val="21"/>
          <w:highlight w:val="none"/>
        </w:rPr>
        <w:t>※</w:t>
      </w:r>
      <w:r>
        <w:rPr>
          <w:rFonts w:ascii="宋体" w:hAnsi="宋体" w:eastAsia="宋体" w:cs="宋体"/>
          <w:color w:val="auto"/>
          <w:kern w:val="0"/>
          <w:szCs w:val="21"/>
          <w:highlight w:val="none"/>
        </w:rPr>
        <w:t>注意：</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1、招标文件接受联合体投标且投标人为联合体的，投标人应提供本协议；否则无须提供。</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2、本协议由委托代理人签字或盖章的，应按照本章载明的格式提供“单位授权书”。</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3、在以联合体形式落实中小企业预留份额项目中，投标人除了要提供《中小企业声明函》，还需提供本协议。 </w:t>
      </w:r>
    </w:p>
    <w:p>
      <w:pPr>
        <w:widowControl/>
        <w:spacing w:before="100" w:beforeAutospacing="1" w:after="100" w:afterAutospacing="1"/>
        <w:jc w:val="center"/>
        <w:rPr>
          <w:rFonts w:ascii="宋体" w:hAnsi="宋体" w:eastAsia="宋体" w:cs="宋体"/>
          <w:b/>
          <w:bCs/>
          <w:color w:val="auto"/>
          <w:kern w:val="0"/>
          <w:sz w:val="24"/>
          <w:szCs w:val="24"/>
          <w:highlight w:val="none"/>
        </w:rPr>
      </w:pPr>
      <w:r>
        <w:rPr>
          <w:rFonts w:ascii="宋体" w:hAnsi="宋体" w:eastAsia="宋体" w:cs="宋体"/>
          <w:b/>
          <w:bCs/>
          <w:color w:val="auto"/>
          <w:kern w:val="0"/>
          <w:sz w:val="24"/>
          <w:szCs w:val="24"/>
          <w:highlight w:val="none"/>
        </w:rPr>
        <w:t>二-1</w:t>
      </w:r>
      <w:r>
        <w:rPr>
          <w:rFonts w:hint="eastAsia" w:ascii="宋体" w:hAnsi="宋体" w:eastAsia="宋体" w:cs="宋体"/>
          <w:b/>
          <w:bCs/>
          <w:color w:val="auto"/>
          <w:kern w:val="0"/>
          <w:sz w:val="24"/>
          <w:szCs w:val="24"/>
          <w:highlight w:val="none"/>
          <w:lang w:val="en-US" w:eastAsia="zh-CN"/>
        </w:rPr>
        <w:t>2</w:t>
      </w:r>
      <w:r>
        <w:rPr>
          <w:rFonts w:ascii="宋体" w:hAnsi="宋体" w:eastAsia="宋体" w:cs="宋体"/>
          <w:b/>
          <w:bCs/>
          <w:color w:val="auto"/>
          <w:kern w:val="0"/>
          <w:sz w:val="24"/>
          <w:szCs w:val="24"/>
          <w:highlight w:val="none"/>
        </w:rPr>
        <w:t>分包意向协议</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甲方（总包方）：</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（即本项目的投标人）</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宋体" w:hAnsi="宋体" w:eastAsia="宋体" w:cs="宋体"/>
          <w:color w:val="auto"/>
          <w:kern w:val="0"/>
          <w:sz w:val="24"/>
          <w:szCs w:val="24"/>
          <w:highlight w:val="none"/>
          <w:lang w:val="en-US" w:eastAsia="zh-CN"/>
        </w:rPr>
      </w:pPr>
      <w:r>
        <w:rPr>
          <w:rFonts w:ascii="宋体" w:hAnsi="宋体" w:eastAsia="宋体" w:cs="宋体"/>
          <w:color w:val="auto"/>
          <w:kern w:val="0"/>
          <w:szCs w:val="21"/>
          <w:highlight w:val="none"/>
        </w:rPr>
        <w:t>乙方（分包方）：</w:t>
      </w:r>
      <w:r>
        <w:rPr>
          <w:rFonts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35"/>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兹有甲方参加</w:t>
      </w:r>
      <w:r>
        <w:rPr>
          <w:rFonts w:ascii="宋体" w:hAnsi="宋体" w:eastAsia="宋体" w:cs="宋体"/>
          <w:color w:val="auto"/>
          <w:kern w:val="0"/>
          <w:szCs w:val="21"/>
          <w:highlight w:val="none"/>
          <w:u w:val="single"/>
        </w:rPr>
        <w:t xml:space="preserve">（填写“项目名称”） </w:t>
      </w:r>
      <w:r>
        <w:rPr>
          <w:rFonts w:ascii="宋体" w:hAnsi="宋体" w:eastAsia="宋体" w:cs="宋体"/>
          <w:color w:val="auto"/>
          <w:kern w:val="0"/>
          <w:szCs w:val="21"/>
          <w:highlight w:val="none"/>
        </w:rPr>
        <w:t>项目（项目编号：</w:t>
      </w:r>
      <w:r>
        <w:rPr>
          <w:rFonts w:ascii="Calibri" w:hAnsi="Calibri" w:eastAsia="宋体" w:cs="宋体"/>
          <w:color w:val="auto"/>
          <w:kern w:val="0"/>
          <w:szCs w:val="21"/>
          <w:highlight w:val="none"/>
          <w:u w:val="single"/>
        </w:rPr>
        <w:t>         </w:t>
      </w:r>
      <w:r>
        <w:rPr>
          <w:rFonts w:ascii="宋体" w:hAnsi="宋体" w:eastAsia="宋体" w:cs="宋体"/>
          <w:color w:val="auto"/>
          <w:kern w:val="0"/>
          <w:szCs w:val="21"/>
          <w:highlight w:val="none"/>
        </w:rPr>
        <w:t>）的政府采购活动。甲方期望将采购项目的部分采购标的分包给乙方完成，而乙方保证能够向甲方提供本</w:t>
      </w:r>
      <w:r>
        <w:rPr>
          <w:rFonts w:ascii="宋体" w:hAnsi="宋体" w:eastAsia="宋体" w:cs="宋体"/>
          <w:color w:val="auto"/>
          <w:kern w:val="0"/>
          <w:sz w:val="24"/>
          <w:szCs w:val="24"/>
          <w:highlight w:val="none"/>
        </w:rPr>
        <w:t>协议</w:t>
      </w:r>
      <w:r>
        <w:rPr>
          <w:rFonts w:ascii="宋体" w:hAnsi="宋体" w:eastAsia="宋体" w:cs="宋体"/>
          <w:color w:val="auto"/>
          <w:kern w:val="0"/>
          <w:szCs w:val="21"/>
          <w:highlight w:val="none"/>
        </w:rPr>
        <w:t>项下的</w:t>
      </w:r>
      <w:r>
        <w:rPr>
          <w:rFonts w:ascii="宋体" w:hAnsi="宋体" w:eastAsia="宋体" w:cs="宋体"/>
          <w:color w:val="auto"/>
          <w:kern w:val="0"/>
          <w:sz w:val="24"/>
          <w:szCs w:val="24"/>
          <w:highlight w:val="none"/>
        </w:rPr>
        <w:t>采购标的，甲、乙双方就合同分包的有关事宜达成下列协议：</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80"/>
        <w:jc w:val="left"/>
        <w:textAlignment w:val="auto"/>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一、分包标的</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80"/>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u w:val="single"/>
        </w:rPr>
        <w:t>（根据双方的意向填写，可以是表格或文字描述）</w:t>
      </w:r>
      <w:r>
        <w:rPr>
          <w:rFonts w:ascii="宋体" w:hAnsi="宋体" w:eastAsia="宋体" w:cs="宋体"/>
          <w:color w:val="auto"/>
          <w:kern w:val="0"/>
          <w:szCs w:val="21"/>
          <w:highlight w:val="none"/>
        </w:rPr>
        <w:t>。</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80"/>
        <w:jc w:val="left"/>
        <w:textAlignment w:val="auto"/>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二、分包合同金额占比</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80"/>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分包合同价占投标总价的比例：　　%</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80"/>
        <w:jc w:val="left"/>
        <w:textAlignment w:val="auto"/>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三、其他条款</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80"/>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Style w:val="21"/>
        <w:tblW w:w="0" w:type="auto"/>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4290"/>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245"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80"/>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甲方：</w:t>
            </w:r>
          </w:p>
        </w:tc>
        <w:tc>
          <w:tcPr>
            <w:tcW w:w="4065"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245"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住所：</w:t>
            </w:r>
          </w:p>
        </w:tc>
        <w:tc>
          <w:tcPr>
            <w:tcW w:w="4065"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住所：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245"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单</w:t>
            </w:r>
            <w:r>
              <w:rPr>
                <w:rFonts w:ascii="宋体" w:hAnsi="宋体" w:eastAsia="宋体" w:cs="宋体"/>
                <w:color w:val="auto"/>
                <w:spacing w:val="-15"/>
                <w:kern w:val="0"/>
                <w:szCs w:val="21"/>
                <w:highlight w:val="none"/>
              </w:rPr>
              <w:t>位负责人或委托代理人：</w:t>
            </w:r>
          </w:p>
        </w:tc>
        <w:tc>
          <w:tcPr>
            <w:tcW w:w="4065"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单</w:t>
            </w:r>
            <w:r>
              <w:rPr>
                <w:rFonts w:ascii="宋体" w:hAnsi="宋体" w:eastAsia="宋体" w:cs="宋体"/>
                <w:color w:val="auto"/>
                <w:spacing w:val="-15"/>
                <w:kern w:val="0"/>
                <w:szCs w:val="21"/>
                <w:highlight w:val="none"/>
              </w:rPr>
              <w:t>位负责人或委托代理人：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245"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联系方法：</w:t>
            </w:r>
          </w:p>
        </w:tc>
        <w:tc>
          <w:tcPr>
            <w:tcW w:w="4065"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联系方法：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245"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开户银行：</w:t>
            </w:r>
          </w:p>
        </w:tc>
        <w:tc>
          <w:tcPr>
            <w:tcW w:w="4065"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245"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账号：</w:t>
            </w:r>
          </w:p>
        </w:tc>
        <w:tc>
          <w:tcPr>
            <w:tcW w:w="4065"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310" w:type="dxa"/>
            <w:gridSpan w:val="2"/>
            <w:tcMar>
              <w:top w:w="0" w:type="dxa"/>
              <w:left w:w="105" w:type="dxa"/>
              <w:bottom w:w="0" w:type="dxa"/>
              <w:right w:w="105" w:type="dxa"/>
            </w:tcMa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3045"/>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签订地点：</w:t>
            </w:r>
            <w:r>
              <w:rPr>
                <w:rFonts w:ascii="Calibri" w:hAnsi="Calibri" w:eastAsia="宋体" w:cs="宋体"/>
                <w:color w:val="auto"/>
                <w:kern w:val="0"/>
                <w:szCs w:val="21"/>
                <w:highlight w:val="none"/>
                <w:u w:val="single"/>
              </w:rPr>
              <w:t>                </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3045"/>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签订日期：</w:t>
            </w:r>
            <w:r>
              <w:rPr>
                <w:rFonts w:ascii="Calibri" w:hAnsi="Calibri" w:eastAsia="宋体" w:cs="宋体"/>
                <w:color w:val="auto"/>
                <w:kern w:val="0"/>
                <w:szCs w:val="21"/>
                <w:highlight w:val="none"/>
              </w:rPr>
              <w:t>    </w:t>
            </w:r>
            <w:r>
              <w:rPr>
                <w:rFonts w:ascii="宋体" w:hAnsi="宋体" w:eastAsia="宋体" w:cs="宋体"/>
                <w:color w:val="auto"/>
                <w:kern w:val="0"/>
                <w:szCs w:val="21"/>
                <w:highlight w:val="none"/>
              </w:rPr>
              <w:t>年</w:t>
            </w:r>
            <w:r>
              <w:rPr>
                <w:rFonts w:ascii="Calibri" w:hAnsi="Calibri" w:eastAsia="宋体" w:cs="宋体"/>
                <w:color w:val="auto"/>
                <w:kern w:val="0"/>
                <w:szCs w:val="21"/>
                <w:highlight w:val="none"/>
              </w:rPr>
              <w:t>   </w:t>
            </w:r>
            <w:r>
              <w:rPr>
                <w:rFonts w:ascii="宋体" w:hAnsi="宋体" w:eastAsia="宋体" w:cs="宋体"/>
                <w:color w:val="auto"/>
                <w:kern w:val="0"/>
                <w:szCs w:val="21"/>
                <w:highlight w:val="none"/>
              </w:rPr>
              <w:t>月</w:t>
            </w:r>
            <w:r>
              <w:rPr>
                <w:rFonts w:ascii="Calibri" w:hAnsi="Calibri" w:eastAsia="宋体" w:cs="宋体"/>
                <w:color w:val="auto"/>
                <w:kern w:val="0"/>
                <w:szCs w:val="21"/>
                <w:highlight w:val="none"/>
              </w:rPr>
              <w:t>   </w:t>
            </w:r>
            <w:r>
              <w:rPr>
                <w:rFonts w:ascii="宋体" w:hAnsi="宋体" w:eastAsia="宋体" w:cs="宋体"/>
                <w:color w:val="auto"/>
                <w:kern w:val="0"/>
                <w:szCs w:val="21"/>
                <w:highlight w:val="none"/>
              </w:rPr>
              <w:t>日</w:t>
            </w:r>
          </w:p>
        </w:tc>
      </w:tr>
    </w:tbl>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hint="eastAsia" w:ascii="宋体" w:hAnsi="宋体" w:eastAsia="宋体" w:cs="宋体"/>
          <w:b/>
          <w:bCs/>
          <w:color w:val="auto"/>
          <w:kern w:val="0"/>
          <w:szCs w:val="21"/>
          <w:highlight w:val="none"/>
        </w:rPr>
        <w:t>※</w:t>
      </w:r>
      <w:r>
        <w:rPr>
          <w:rFonts w:ascii="宋体" w:hAnsi="宋体" w:eastAsia="宋体" w:cs="宋体"/>
          <w:b/>
          <w:bCs/>
          <w:color w:val="auto"/>
          <w:kern w:val="0"/>
          <w:szCs w:val="21"/>
          <w:highlight w:val="none"/>
        </w:rPr>
        <w:t>注意：</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35"/>
        <w:jc w:val="left"/>
        <w:textAlignment w:val="auto"/>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1.招标文件接受合同分包且投标人拟将合同分包的，应提供本协议；否则无须提供。</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35"/>
        <w:jc w:val="left"/>
        <w:textAlignment w:val="auto"/>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2.本协议由委托代理人签字或盖章的，应按照本章载明的格式提供“单位授权书”。</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35"/>
        <w:jc w:val="left"/>
        <w:textAlignment w:val="auto"/>
        <w:rPr>
          <w:rFonts w:ascii="宋体" w:hAnsi="宋体" w:eastAsia="宋体" w:cs="宋体"/>
          <w:b/>
          <w:bCs/>
          <w:color w:val="auto"/>
          <w:kern w:val="0"/>
          <w:szCs w:val="21"/>
          <w:highlight w:val="none"/>
        </w:rPr>
      </w:pPr>
      <w:r>
        <w:rPr>
          <w:rFonts w:ascii="宋体" w:hAnsi="宋体" w:eastAsia="宋体" w:cs="宋体"/>
          <w:b/>
          <w:bCs/>
          <w:color w:val="auto"/>
          <w:kern w:val="0"/>
          <w:szCs w:val="21"/>
          <w:highlight w:val="none"/>
        </w:rPr>
        <w:t>3.在以合同分包形式落实中小企业预留份额项目中，投标人除了要提供《中小企业声明函》，还需提供本协议。 </w:t>
      </w:r>
    </w:p>
    <w:p>
      <w:pPr>
        <w:pStyle w:val="2"/>
        <w:rPr>
          <w:rFonts w:ascii="宋体" w:hAnsi="宋体" w:eastAsia="宋体" w:cs="宋体"/>
          <w:b/>
          <w:bCs/>
          <w:color w:val="auto"/>
          <w:kern w:val="0"/>
          <w:szCs w:val="21"/>
          <w:highlight w:val="none"/>
        </w:rPr>
      </w:pPr>
    </w:p>
    <w:p>
      <w:pPr>
        <w:rPr>
          <w:rFonts w:ascii="宋体" w:hAnsi="宋体" w:eastAsia="宋体" w:cs="宋体"/>
          <w:b/>
          <w:bCs/>
          <w:color w:val="auto"/>
          <w:kern w:val="0"/>
          <w:szCs w:val="21"/>
          <w:highlight w:val="none"/>
        </w:rPr>
      </w:pPr>
    </w:p>
    <w:p>
      <w:pPr>
        <w:pStyle w:val="2"/>
        <w:rPr>
          <w:color w:val="auto"/>
          <w:highlight w:val="none"/>
        </w:rPr>
      </w:pP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二-1</w:t>
      </w:r>
      <w:r>
        <w:rPr>
          <w:rFonts w:hint="eastAsia" w:ascii="宋体" w:hAnsi="宋体" w:eastAsia="宋体" w:cs="宋体"/>
          <w:b/>
          <w:bCs/>
          <w:color w:val="auto"/>
          <w:kern w:val="0"/>
          <w:szCs w:val="21"/>
          <w:highlight w:val="none"/>
          <w:lang w:val="en-US" w:eastAsia="zh-CN"/>
        </w:rPr>
        <w:t>3</w:t>
      </w:r>
      <w:r>
        <w:rPr>
          <w:rFonts w:ascii="宋体" w:hAnsi="宋体" w:eastAsia="宋体" w:cs="宋体"/>
          <w:b/>
          <w:bCs/>
          <w:color w:val="auto"/>
          <w:kern w:val="0"/>
          <w:szCs w:val="21"/>
          <w:highlight w:val="none"/>
        </w:rPr>
        <w:t>其他资格证明文件（若有）</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二</w:t>
      </w:r>
      <w:r>
        <w:rPr>
          <w:rFonts w:ascii="宋体" w:hAnsi="宋体" w:eastAsia="宋体" w:cs="宋体"/>
          <w:b/>
          <w:bCs/>
          <w:color w:val="auto"/>
          <w:kern w:val="0"/>
          <w:szCs w:val="21"/>
          <w:highlight w:val="none"/>
        </w:rPr>
        <w:t>-1</w:t>
      </w:r>
      <w:r>
        <w:rPr>
          <w:rFonts w:hint="eastAsia" w:ascii="宋体" w:hAnsi="宋体" w:eastAsia="宋体" w:cs="宋体"/>
          <w:b/>
          <w:bCs/>
          <w:color w:val="auto"/>
          <w:kern w:val="0"/>
          <w:szCs w:val="21"/>
          <w:highlight w:val="none"/>
          <w:lang w:val="en-US" w:eastAsia="zh-CN"/>
        </w:rPr>
        <w:t>3</w:t>
      </w:r>
      <w:r>
        <w:rPr>
          <w:rFonts w:ascii="宋体" w:hAnsi="宋体" w:eastAsia="宋体" w:cs="宋体"/>
          <w:b/>
          <w:bCs/>
          <w:color w:val="auto"/>
          <w:kern w:val="0"/>
          <w:szCs w:val="21"/>
          <w:highlight w:val="none"/>
        </w:rPr>
        <w:t>-</w:t>
      </w:r>
      <w:r>
        <w:rPr>
          <w:rFonts w:hint="eastAsia" w:ascii="宋体" w:hAnsi="宋体" w:eastAsia="宋体" w:cs="宋体"/>
          <w:b/>
          <w:bCs/>
          <w:color w:val="auto"/>
          <w:kern w:val="0"/>
          <w:szCs w:val="21"/>
          <w:highlight w:val="none"/>
        </w:rPr>
        <w:t>①</w:t>
      </w:r>
      <w:r>
        <w:rPr>
          <w:rFonts w:ascii="宋体" w:hAnsi="宋体" w:eastAsia="宋体" w:cs="宋体"/>
          <w:b/>
          <w:bCs/>
          <w:color w:val="auto"/>
          <w:kern w:val="0"/>
          <w:szCs w:val="21"/>
          <w:highlight w:val="none"/>
        </w:rPr>
        <w:t>具备履行合同所必需设备和专业技术能力专项证明材料（若有）</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致：</w:t>
      </w:r>
      <w:r>
        <w:rPr>
          <w:rFonts w:ascii="宋体" w:hAnsi="宋体" w:eastAsia="宋体" w:cs="宋体"/>
          <w:color w:val="auto"/>
          <w:kern w:val="0"/>
          <w:szCs w:val="21"/>
          <w:highlight w:val="none"/>
          <w:u w:val="single"/>
        </w:rPr>
        <w:t>          （采购人或采购代理机构）  </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现附上我方具备履行合同所必需的设备和专业技术能力的专项证明材料复印件（具体附后），上述证明材料真实有效，否则我方负全部责任。</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hint="eastAsia" w:ascii="宋体" w:hAnsi="宋体" w:eastAsia="宋体" w:cs="宋体"/>
          <w:color w:val="auto"/>
          <w:kern w:val="0"/>
          <w:szCs w:val="21"/>
          <w:highlight w:val="none"/>
        </w:rPr>
        <w:t>※</w:t>
      </w:r>
      <w:r>
        <w:rPr>
          <w:rFonts w:ascii="宋体" w:hAnsi="宋体" w:eastAsia="宋体" w:cs="宋体"/>
          <w:color w:val="auto"/>
          <w:kern w:val="0"/>
          <w:szCs w:val="21"/>
          <w:highlight w:val="none"/>
        </w:rPr>
        <w:t>注意：</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1、招标文件要求投标人提供“具备履行合同所必需的设备和专业技术能力专项证明材料”的，投标人应按照招标文件规定在此项下提供相应证明材料复印件。</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2、投标人提供的相应证明材料复印件均应符合：内容完整、清晰、整洁，并由投标人加盖其单位公章。</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投标人：</w:t>
      </w:r>
      <w:r>
        <w:rPr>
          <w:rFonts w:ascii="宋体" w:hAnsi="宋体" w:eastAsia="宋体" w:cs="宋体"/>
          <w:color w:val="auto"/>
          <w:kern w:val="0"/>
          <w:szCs w:val="21"/>
          <w:highlight w:val="none"/>
          <w:u w:val="single"/>
        </w:rPr>
        <w:t>（全称并加盖单位公章）</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日期：</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年</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月</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日</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24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jc w:val="left"/>
        <w:rPr>
          <w:rFonts w:ascii="Calibri" w:hAnsi="Calibri" w:eastAsia="宋体" w:cs="宋体"/>
          <w:color w:val="auto"/>
          <w:kern w:val="0"/>
          <w:szCs w:val="21"/>
          <w:highlight w:val="none"/>
        </w:rPr>
      </w:pPr>
      <w:r>
        <w:rPr>
          <w:rFonts w:ascii="Calibri" w:hAnsi="Calibri" w:eastAsia="宋体" w:cs="宋体"/>
          <w:color w:val="auto"/>
          <w:kern w:val="0"/>
          <w:szCs w:val="21"/>
          <w:highlight w:val="none"/>
        </w:rPr>
        <w:br w:type="page"/>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二-1</w:t>
      </w:r>
      <w:r>
        <w:rPr>
          <w:rFonts w:hint="eastAsia" w:ascii="宋体" w:hAnsi="宋体" w:eastAsia="宋体" w:cs="宋体"/>
          <w:b/>
          <w:bCs/>
          <w:color w:val="auto"/>
          <w:kern w:val="0"/>
          <w:szCs w:val="21"/>
          <w:highlight w:val="none"/>
          <w:lang w:val="en-US" w:eastAsia="zh-CN"/>
        </w:rPr>
        <w:t>3</w:t>
      </w:r>
      <w:r>
        <w:rPr>
          <w:rFonts w:ascii="宋体" w:hAnsi="宋体" w:eastAsia="宋体" w:cs="宋体"/>
          <w:b/>
          <w:bCs/>
          <w:color w:val="auto"/>
          <w:kern w:val="0"/>
          <w:szCs w:val="21"/>
          <w:highlight w:val="none"/>
        </w:rPr>
        <w:t>-</w:t>
      </w:r>
      <w:r>
        <w:rPr>
          <w:rFonts w:hint="eastAsia" w:ascii="宋体" w:hAnsi="宋体" w:eastAsia="宋体" w:cs="宋体"/>
          <w:b/>
          <w:bCs/>
          <w:color w:val="auto"/>
          <w:kern w:val="0"/>
          <w:szCs w:val="21"/>
          <w:highlight w:val="none"/>
        </w:rPr>
        <w:t>②</w:t>
      </w:r>
      <w:r>
        <w:rPr>
          <w:rFonts w:ascii="宋体" w:hAnsi="宋体" w:eastAsia="宋体" w:cs="宋体"/>
          <w:b/>
          <w:bCs/>
          <w:color w:val="auto"/>
          <w:kern w:val="0"/>
          <w:szCs w:val="21"/>
          <w:highlight w:val="none"/>
        </w:rPr>
        <w:t>招标文件规定的其他资格证明文件（若有）</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编制说明</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除招标文件另有规定外，招标文件要求提交的除前述资格证明文件外的其他资格证明文件（若有）加盖投标人的单位公章后应在此项下提交。</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100" w:beforeAutospacing="1" w:after="100" w:afterAutospacing="1"/>
        <w:jc w:val="center"/>
        <w:rPr>
          <w:rFonts w:ascii="Calibri" w:hAnsi="Calibri" w:eastAsia="宋体" w:cs="宋体"/>
          <w:color w:val="auto"/>
          <w:kern w:val="0"/>
          <w:szCs w:val="21"/>
          <w:highlight w:val="none"/>
        </w:rPr>
      </w:pP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、投标保证金</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编制说明</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1、在此项下提交的</w:t>
      </w:r>
      <w:r>
        <w:rPr>
          <w:rFonts w:ascii="宋体" w:hAnsi="宋体" w:eastAsia="宋体" w:cs="宋体"/>
          <w:b/>
          <w:bCs/>
          <w:color w:val="auto"/>
          <w:kern w:val="0"/>
          <w:szCs w:val="21"/>
          <w:highlight w:val="none"/>
        </w:rPr>
        <w:t>“投标保证金”</w:t>
      </w:r>
      <w:r>
        <w:rPr>
          <w:rFonts w:ascii="宋体" w:hAnsi="宋体" w:eastAsia="宋体" w:cs="宋体"/>
          <w:color w:val="auto"/>
          <w:kern w:val="0"/>
          <w:szCs w:val="21"/>
          <w:highlight w:val="none"/>
        </w:rPr>
        <w:t>材料可使用转账凭证复印件。</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2、投标保证金是否已提交的认定按照招标文件第三章规定执行。</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hint="eastAsia" w:ascii="宋体" w:hAnsi="宋体" w:eastAsia="宋体" w:cs="宋体"/>
          <w:color w:val="auto"/>
          <w:kern w:val="0"/>
          <w:szCs w:val="21"/>
          <w:highlight w:val="none"/>
        </w:rPr>
      </w:pPr>
      <w:r>
        <w:rPr>
          <w:rFonts w:ascii="宋体" w:hAnsi="宋体" w:eastAsia="宋体" w:cs="宋体"/>
          <w:color w:val="auto"/>
          <w:kern w:val="0"/>
          <w:szCs w:val="21"/>
          <w:highlight w:val="none"/>
        </w:rPr>
        <w:t> </w:t>
      </w:r>
    </w:p>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br w:type="page"/>
      </w:r>
    </w:p>
    <w:p>
      <w:pPr>
        <w:widowControl/>
        <w:spacing w:before="75" w:after="75"/>
        <w:rPr>
          <w:rFonts w:hint="eastAsia" w:asciiTheme="majorEastAsia" w:hAnsiTheme="majorEastAsia" w:eastAsiaTheme="majorEastAsia" w:cstheme="majorEastAsia"/>
          <w:b/>
          <w:bCs/>
          <w:color w:val="auto"/>
          <w:kern w:val="0"/>
          <w:sz w:val="24"/>
          <w:highlight w:val="none"/>
        </w:rPr>
      </w:pPr>
      <w:r>
        <w:rPr>
          <w:rFonts w:hint="eastAsia" w:asciiTheme="majorEastAsia" w:hAnsiTheme="majorEastAsia" w:eastAsiaTheme="majorEastAsia" w:cstheme="majorEastAsia"/>
          <w:b/>
          <w:bCs/>
          <w:color w:val="auto"/>
          <w:kern w:val="0"/>
          <w:sz w:val="24"/>
          <w:highlight w:val="none"/>
        </w:rPr>
        <w:t>封面格式</w:t>
      </w:r>
    </w:p>
    <w:p>
      <w:pPr>
        <w:pStyle w:val="33"/>
        <w:rPr>
          <w:rFonts w:hint="eastAsia" w:asciiTheme="majorEastAsia" w:hAnsiTheme="majorEastAsia" w:eastAsiaTheme="majorEastAsia" w:cstheme="majorEastAsia"/>
          <w:b/>
          <w:bCs/>
          <w:color w:val="auto"/>
          <w:kern w:val="0"/>
          <w:sz w:val="24"/>
          <w:highlight w:val="none"/>
        </w:rPr>
      </w:pPr>
    </w:p>
    <w:p>
      <w:pPr>
        <w:pStyle w:val="8"/>
        <w:rPr>
          <w:color w:val="auto"/>
          <w:highlight w:val="none"/>
        </w:rPr>
      </w:pPr>
    </w:p>
    <w:p>
      <w:pPr>
        <w:widowControl/>
        <w:spacing w:before="75" w:after="75"/>
        <w:jc w:val="center"/>
        <w:rPr>
          <w:rFonts w:asciiTheme="majorEastAsia" w:hAnsiTheme="majorEastAsia" w:eastAsiaTheme="majorEastAsia" w:cstheme="majorEastAsia"/>
          <w:color w:val="auto"/>
          <w:kern w:val="0"/>
          <w:sz w:val="52"/>
          <w:szCs w:val="52"/>
          <w:highlight w:val="none"/>
        </w:rPr>
      </w:pPr>
      <w:r>
        <w:rPr>
          <w:rFonts w:hint="eastAsia" w:asciiTheme="majorEastAsia" w:hAnsiTheme="majorEastAsia" w:eastAsiaTheme="majorEastAsia" w:cstheme="majorEastAsia"/>
          <w:b/>
          <w:bCs/>
          <w:color w:val="auto"/>
          <w:kern w:val="0"/>
          <w:sz w:val="52"/>
          <w:szCs w:val="52"/>
          <w:highlight w:val="none"/>
        </w:rPr>
        <w:t>投标文件</w:t>
      </w:r>
    </w:p>
    <w:p>
      <w:pPr>
        <w:widowControl/>
        <w:spacing w:before="75" w:after="75"/>
        <w:jc w:val="center"/>
        <w:rPr>
          <w:rFonts w:asciiTheme="majorEastAsia" w:hAnsiTheme="majorEastAsia" w:eastAsiaTheme="majorEastAsia" w:cstheme="majorEastAsia"/>
          <w:color w:val="auto"/>
          <w:kern w:val="0"/>
          <w:sz w:val="52"/>
          <w:szCs w:val="52"/>
          <w:highlight w:val="none"/>
        </w:rPr>
      </w:pPr>
      <w:r>
        <w:rPr>
          <w:rFonts w:hint="eastAsia" w:asciiTheme="majorEastAsia" w:hAnsiTheme="majorEastAsia" w:eastAsiaTheme="majorEastAsia" w:cstheme="majorEastAsia"/>
          <w:b/>
          <w:bCs/>
          <w:color w:val="auto"/>
          <w:kern w:val="0"/>
          <w:sz w:val="52"/>
          <w:szCs w:val="52"/>
          <w:highlight w:val="none"/>
        </w:rPr>
        <w:t>（报价部分）</w:t>
      </w:r>
    </w:p>
    <w:p>
      <w:pPr>
        <w:widowControl/>
        <w:spacing w:before="75" w:after="75"/>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w:t>
      </w:r>
    </w:p>
    <w:p>
      <w:pPr>
        <w:widowControl/>
        <w:spacing w:before="75" w:after="75"/>
        <w:jc w:val="center"/>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b/>
          <w:bCs/>
          <w:color w:val="auto"/>
          <w:kern w:val="0"/>
          <w:sz w:val="32"/>
          <w:szCs w:val="32"/>
          <w:highlight w:val="none"/>
        </w:rPr>
        <w:t>（填写正本或副本）</w:t>
      </w:r>
    </w:p>
    <w:p>
      <w:pPr>
        <w:widowControl/>
        <w:spacing w:before="75" w:after="75"/>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w:t>
      </w:r>
    </w:p>
    <w:p>
      <w:pPr>
        <w:widowControl/>
        <w:spacing w:before="75" w:after="75"/>
        <w:ind w:firstLine="1920"/>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b/>
          <w:bCs/>
          <w:color w:val="auto"/>
          <w:kern w:val="0"/>
          <w:sz w:val="32"/>
          <w:szCs w:val="32"/>
          <w:highlight w:val="none"/>
        </w:rPr>
        <w:t>项目名称：（由投标人填写）</w:t>
      </w:r>
    </w:p>
    <w:p>
      <w:pPr>
        <w:widowControl/>
        <w:spacing w:before="75" w:after="75"/>
        <w:ind w:firstLine="1920"/>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b/>
          <w:bCs/>
          <w:color w:val="auto"/>
          <w:kern w:val="0"/>
          <w:sz w:val="32"/>
          <w:szCs w:val="32"/>
          <w:highlight w:val="none"/>
          <w:lang w:eastAsia="zh-CN"/>
        </w:rPr>
        <w:t>项目编号</w:t>
      </w:r>
      <w:r>
        <w:rPr>
          <w:rFonts w:hint="eastAsia" w:asciiTheme="majorEastAsia" w:hAnsiTheme="majorEastAsia" w:eastAsiaTheme="majorEastAsia" w:cstheme="majorEastAsia"/>
          <w:b/>
          <w:bCs/>
          <w:color w:val="auto"/>
          <w:kern w:val="0"/>
          <w:sz w:val="32"/>
          <w:szCs w:val="32"/>
          <w:highlight w:val="none"/>
        </w:rPr>
        <w:t>：（由投标人填写）</w:t>
      </w:r>
    </w:p>
    <w:p>
      <w:pPr>
        <w:widowControl/>
        <w:spacing w:before="75" w:after="75"/>
        <w:ind w:firstLine="1920"/>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b/>
          <w:bCs/>
          <w:color w:val="auto"/>
          <w:kern w:val="0"/>
          <w:sz w:val="32"/>
          <w:szCs w:val="32"/>
          <w:highlight w:val="none"/>
        </w:rPr>
        <w:t>所投合同包：（由投标人填写）</w:t>
      </w:r>
    </w:p>
    <w:p>
      <w:pPr>
        <w:widowControl/>
        <w:spacing w:before="75" w:after="75"/>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w:t>
      </w:r>
    </w:p>
    <w:p>
      <w:pPr>
        <w:widowControl/>
        <w:spacing w:before="75" w:after="75"/>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w:t>
      </w:r>
    </w:p>
    <w:p>
      <w:pPr>
        <w:widowControl/>
        <w:spacing w:before="75" w:after="75"/>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w:t>
      </w:r>
    </w:p>
    <w:p>
      <w:pPr>
        <w:widowControl/>
        <w:spacing w:before="75" w:after="75"/>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w:t>
      </w:r>
    </w:p>
    <w:p>
      <w:pPr>
        <w:widowControl/>
        <w:spacing w:before="75" w:after="75"/>
        <w:jc w:val="center"/>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b/>
          <w:bCs/>
          <w:color w:val="auto"/>
          <w:kern w:val="0"/>
          <w:sz w:val="32"/>
          <w:szCs w:val="32"/>
          <w:highlight w:val="none"/>
        </w:rPr>
        <w:t>投标人：（填写“全称”）</w:t>
      </w:r>
    </w:p>
    <w:p>
      <w:pPr>
        <w:widowControl/>
        <w:spacing w:before="75" w:after="75"/>
        <w:jc w:val="center"/>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b/>
          <w:bCs/>
          <w:color w:val="auto"/>
          <w:kern w:val="0"/>
          <w:sz w:val="32"/>
          <w:szCs w:val="32"/>
          <w:highlight w:val="none"/>
        </w:rPr>
        <w:t>（由投标人填写）年（由投标人填写）月</w:t>
      </w:r>
    </w:p>
    <w:p>
      <w:pPr>
        <w:widowControl/>
        <w:spacing w:before="75" w:after="75"/>
        <w:jc w:val="left"/>
        <w:rPr>
          <w:rFonts w:asciiTheme="majorEastAsia" w:hAnsiTheme="majorEastAsia" w:eastAsiaTheme="majorEastAsia" w:cstheme="majorEastAsia"/>
          <w:color w:val="auto"/>
          <w:kern w:val="0"/>
          <w:sz w:val="32"/>
          <w:szCs w:val="32"/>
          <w:highlight w:val="none"/>
        </w:rPr>
      </w:pPr>
      <w:r>
        <w:rPr>
          <w:rFonts w:hint="eastAsia" w:asciiTheme="majorEastAsia" w:hAnsiTheme="majorEastAsia" w:eastAsiaTheme="majorEastAsia" w:cstheme="majorEastAsia"/>
          <w:color w:val="auto"/>
          <w:kern w:val="0"/>
          <w:sz w:val="32"/>
          <w:szCs w:val="32"/>
          <w:highlight w:val="none"/>
        </w:rPr>
        <w:t> </w:t>
      </w:r>
    </w:p>
    <w:p>
      <w:pPr>
        <w:pStyle w:val="6"/>
        <w:rPr>
          <w:rFonts w:asciiTheme="majorEastAsia" w:hAnsiTheme="majorEastAsia" w:eastAsiaTheme="majorEastAsia" w:cstheme="majorEastAsia"/>
          <w:color w:val="auto"/>
          <w:kern w:val="0"/>
          <w:sz w:val="32"/>
          <w:szCs w:val="32"/>
          <w:highlight w:val="none"/>
        </w:rPr>
      </w:pPr>
    </w:p>
    <w:p>
      <w:pPr>
        <w:rPr>
          <w:color w:val="auto"/>
          <w:highlight w:val="none"/>
        </w:rPr>
      </w:pPr>
    </w:p>
    <w:p>
      <w:pPr>
        <w:rPr>
          <w:rFonts w:asciiTheme="majorEastAsia" w:hAnsiTheme="majorEastAsia" w:eastAsiaTheme="majorEastAsia" w:cstheme="majorEastAsia"/>
          <w:color w:val="auto"/>
          <w:highlight w:val="none"/>
        </w:rPr>
      </w:pPr>
    </w:p>
    <w:p>
      <w:pPr>
        <w:pStyle w:val="18"/>
        <w:widowControl/>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sz w:val="21"/>
          <w:szCs w:val="21"/>
          <w:highlight w:val="none"/>
        </w:rPr>
        <w:t>一、开标一览表</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lang w:eastAsia="zh-CN"/>
        </w:rPr>
        <w:t>项目</w:t>
      </w:r>
      <w:r>
        <w:rPr>
          <w:rFonts w:hint="eastAsia" w:asciiTheme="majorEastAsia" w:hAnsiTheme="majorEastAsia" w:eastAsiaTheme="majorEastAsia" w:cstheme="majorEastAsia"/>
          <w:color w:val="auto"/>
          <w:sz w:val="21"/>
          <w:szCs w:val="21"/>
          <w:highlight w:val="none"/>
        </w:rPr>
        <w:t>编号：</w:t>
      </w:r>
      <w:r>
        <w:rPr>
          <w:rFonts w:hint="eastAsia" w:asciiTheme="majorEastAsia" w:hAnsiTheme="majorEastAsia" w:eastAsiaTheme="majorEastAsia" w:cstheme="majorEastAsia"/>
          <w:color w:val="auto"/>
          <w:sz w:val="21"/>
          <w:szCs w:val="21"/>
          <w:highlight w:val="none"/>
          <w:u w:val="single"/>
        </w:rPr>
        <w:t>                   </w:t>
      </w:r>
    </w:p>
    <w:p>
      <w:pPr>
        <w:pStyle w:val="18"/>
        <w:widowControl/>
        <w:jc w:val="righ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货币及单位：人民币元</w:t>
      </w:r>
    </w:p>
    <w:tbl>
      <w:tblPr>
        <w:tblStyle w:val="21"/>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28"/>
        <w:gridCol w:w="4950"/>
        <w:gridCol w:w="1050"/>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83" w:type="dxa"/>
            <w:shd w:val="clear" w:color="auto" w:fill="auto"/>
            <w:tcMar>
              <w:top w:w="0" w:type="dxa"/>
              <w:left w:w="105" w:type="dxa"/>
              <w:bottom w:w="0" w:type="dxa"/>
              <w:right w:w="105" w:type="dxa"/>
            </w:tcMar>
            <w:vAlign w:val="center"/>
          </w:tcPr>
          <w:p>
            <w:pPr>
              <w:pStyle w:val="18"/>
              <w:widowControl/>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采购包</w:t>
            </w:r>
          </w:p>
        </w:tc>
        <w:tc>
          <w:tcPr>
            <w:tcW w:w="4920" w:type="dxa"/>
            <w:shd w:val="clear" w:color="auto" w:fill="auto"/>
            <w:tcMar>
              <w:top w:w="0" w:type="dxa"/>
              <w:left w:w="105" w:type="dxa"/>
              <w:bottom w:w="0" w:type="dxa"/>
              <w:right w:w="105" w:type="dxa"/>
            </w:tcMar>
            <w:vAlign w:val="center"/>
          </w:tcPr>
          <w:p>
            <w:pPr>
              <w:pStyle w:val="18"/>
              <w:widowControl/>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投标报价</w:t>
            </w:r>
          </w:p>
        </w:tc>
        <w:tc>
          <w:tcPr>
            <w:tcW w:w="1020" w:type="dxa"/>
            <w:shd w:val="clear" w:color="auto" w:fill="auto"/>
            <w:tcMar>
              <w:top w:w="0" w:type="dxa"/>
              <w:left w:w="105" w:type="dxa"/>
              <w:bottom w:w="0" w:type="dxa"/>
              <w:right w:w="105" w:type="dxa"/>
            </w:tcMar>
            <w:vAlign w:val="center"/>
          </w:tcPr>
          <w:p>
            <w:pPr>
              <w:pStyle w:val="18"/>
              <w:widowControl/>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投标</w:t>
            </w:r>
          </w:p>
          <w:p>
            <w:pPr>
              <w:pStyle w:val="18"/>
              <w:widowControl/>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保证金</w:t>
            </w:r>
          </w:p>
        </w:tc>
        <w:tc>
          <w:tcPr>
            <w:tcW w:w="1447" w:type="dxa"/>
            <w:shd w:val="clear" w:color="auto" w:fill="auto"/>
            <w:tcMar>
              <w:top w:w="0" w:type="dxa"/>
              <w:left w:w="105" w:type="dxa"/>
              <w:bottom w:w="0" w:type="dxa"/>
              <w:right w:w="105" w:type="dxa"/>
            </w:tcMar>
            <w:vAlign w:val="center"/>
          </w:tcPr>
          <w:p>
            <w:pPr>
              <w:pStyle w:val="18"/>
              <w:widowControl/>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00" w:hRule="atLeast"/>
          <w:tblCellSpacing w:w="15" w:type="dxa"/>
        </w:trPr>
        <w:tc>
          <w:tcPr>
            <w:tcW w:w="983" w:type="dxa"/>
            <w:shd w:val="clear" w:color="auto" w:fill="auto"/>
            <w:tcMar>
              <w:top w:w="0" w:type="dxa"/>
              <w:left w:w="105" w:type="dxa"/>
              <w:bottom w:w="0" w:type="dxa"/>
              <w:right w:w="105" w:type="dxa"/>
            </w:tcMar>
            <w:vAlign w:val="center"/>
          </w:tcPr>
          <w:p>
            <w:pPr>
              <w:pStyle w:val="18"/>
              <w:widowControl/>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w:t>
            </w:r>
          </w:p>
        </w:tc>
        <w:tc>
          <w:tcPr>
            <w:tcW w:w="4920" w:type="dxa"/>
            <w:shd w:val="clear" w:color="auto" w:fill="auto"/>
            <w:tcMar>
              <w:top w:w="0" w:type="dxa"/>
              <w:left w:w="105" w:type="dxa"/>
              <w:bottom w:w="0" w:type="dxa"/>
              <w:right w:w="105" w:type="dxa"/>
            </w:tcMar>
            <w:vAlign w:val="center"/>
          </w:tcPr>
          <w:p>
            <w:pPr>
              <w:pStyle w:val="18"/>
              <w:widowControl/>
              <w:jc w:val="lef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投标总价（大写金额）：</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w:t>
            </w:r>
          </w:p>
        </w:tc>
        <w:tc>
          <w:tcPr>
            <w:tcW w:w="1020" w:type="dxa"/>
            <w:shd w:val="clear" w:color="auto" w:fill="auto"/>
            <w:tcMar>
              <w:top w:w="0" w:type="dxa"/>
              <w:left w:w="105" w:type="dxa"/>
              <w:bottom w:w="0" w:type="dxa"/>
              <w:right w:w="105" w:type="dxa"/>
            </w:tcMar>
            <w:vAlign w:val="center"/>
          </w:tcPr>
          <w:p>
            <w:pPr>
              <w:widowControl/>
              <w:jc w:val="left"/>
              <w:rPr>
                <w:rFonts w:asciiTheme="majorEastAsia" w:hAnsiTheme="majorEastAsia" w:eastAsiaTheme="majorEastAsia" w:cstheme="majorEastAsia"/>
                <w:color w:val="auto"/>
                <w:highlight w:val="none"/>
              </w:rPr>
            </w:pPr>
          </w:p>
        </w:tc>
        <w:tc>
          <w:tcPr>
            <w:tcW w:w="1447" w:type="dxa"/>
            <w:vMerge w:val="restart"/>
            <w:shd w:val="clear" w:color="auto" w:fill="auto"/>
            <w:tcMar>
              <w:top w:w="0" w:type="dxa"/>
              <w:left w:w="105" w:type="dxa"/>
              <w:bottom w:w="0" w:type="dxa"/>
              <w:right w:w="105" w:type="dxa"/>
            </w:tcMar>
            <w:vAlign w:val="center"/>
          </w:tcPr>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a.投标报价的明细：详见《投标分项报价表》。</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b.招标文件规定的价格扣除证明材料（若有）：详见报价部分。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83" w:type="dxa"/>
            <w:shd w:val="clear" w:color="auto" w:fill="auto"/>
            <w:tcMar>
              <w:top w:w="0" w:type="dxa"/>
              <w:left w:w="105" w:type="dxa"/>
              <w:bottom w:w="0" w:type="dxa"/>
              <w:right w:w="105" w:type="dxa"/>
            </w:tcMar>
            <w:vAlign w:val="center"/>
          </w:tcPr>
          <w:p>
            <w:pPr>
              <w:pStyle w:val="18"/>
              <w:widowControl/>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w:t>
            </w:r>
          </w:p>
        </w:tc>
        <w:tc>
          <w:tcPr>
            <w:tcW w:w="4920" w:type="dxa"/>
            <w:shd w:val="clear" w:color="auto" w:fill="auto"/>
            <w:tcMar>
              <w:top w:w="0" w:type="dxa"/>
              <w:left w:w="105" w:type="dxa"/>
              <w:bottom w:w="0" w:type="dxa"/>
              <w:right w:w="105" w:type="dxa"/>
            </w:tcMar>
            <w:vAlign w:val="center"/>
          </w:tcPr>
          <w:p>
            <w:pPr>
              <w:pStyle w:val="18"/>
              <w:widowControl/>
              <w:jc w:val="lef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投标总价（大写金额）：</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w:t>
            </w:r>
          </w:p>
        </w:tc>
        <w:tc>
          <w:tcPr>
            <w:tcW w:w="1020" w:type="dxa"/>
            <w:shd w:val="clear" w:color="auto" w:fill="auto"/>
            <w:tcMar>
              <w:top w:w="0" w:type="dxa"/>
              <w:left w:w="105" w:type="dxa"/>
              <w:bottom w:w="0" w:type="dxa"/>
              <w:right w:w="105" w:type="dxa"/>
            </w:tcMar>
            <w:vAlign w:val="center"/>
          </w:tcPr>
          <w:p>
            <w:pPr>
              <w:widowControl/>
              <w:jc w:val="left"/>
              <w:rPr>
                <w:rFonts w:asciiTheme="majorEastAsia" w:hAnsiTheme="majorEastAsia" w:eastAsiaTheme="majorEastAsia" w:cstheme="majorEastAsia"/>
                <w:color w:val="auto"/>
                <w:highlight w:val="none"/>
              </w:rPr>
            </w:pPr>
          </w:p>
        </w:tc>
        <w:tc>
          <w:tcPr>
            <w:tcW w:w="1447" w:type="dxa"/>
            <w:vMerge w:val="continue"/>
            <w:shd w:val="clear" w:color="auto" w:fill="auto"/>
            <w:tcMar>
              <w:top w:w="0" w:type="dxa"/>
              <w:left w:w="105" w:type="dxa"/>
              <w:bottom w:w="0" w:type="dxa"/>
              <w:right w:w="105" w:type="dxa"/>
            </w:tcMar>
            <w:vAlign w:val="center"/>
          </w:tcPr>
          <w:p>
            <w:pPr>
              <w:rPr>
                <w:rFonts w:asciiTheme="majorEastAsia" w:hAnsiTheme="majorEastAsia" w:eastAsiaTheme="majorEastAsia" w:cstheme="majorEastAsia"/>
                <w:color w:val="auto"/>
                <w:sz w:val="24"/>
                <w:highlight w:val="none"/>
              </w:rPr>
            </w:pPr>
          </w:p>
        </w:tc>
      </w:tr>
    </w:tbl>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hint="eastAsia" w:ascii="宋体" w:hAnsi="宋体" w:eastAsia="宋体" w:cs="宋体"/>
          <w:color w:val="auto"/>
          <w:kern w:val="0"/>
          <w:szCs w:val="21"/>
          <w:highlight w:val="none"/>
        </w:rPr>
        <w:t>※</w:t>
      </w:r>
      <w:r>
        <w:rPr>
          <w:rFonts w:ascii="宋体" w:hAnsi="宋体" w:eastAsia="宋体" w:cs="宋体"/>
          <w:color w:val="auto"/>
          <w:kern w:val="0"/>
          <w:szCs w:val="21"/>
          <w:highlight w:val="none"/>
        </w:rPr>
        <w:t>注意：</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1、本表应按照下列规定填写：</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1.1投标人应按照本表格式填写所投的采购包的“投标报价”。</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1.2本表中列示的“采购包”应与《投标分项报价表》中列示的“采购包”保持一致，即：若本表中列示的“采购包”为“</w:t>
      </w:r>
      <w:r>
        <w:rPr>
          <w:rFonts w:ascii="Calibri" w:hAnsi="Calibri" w:eastAsia="宋体" w:cs="宋体"/>
          <w:color w:val="auto"/>
          <w:kern w:val="0"/>
          <w:szCs w:val="21"/>
          <w:highlight w:val="none"/>
        </w:rPr>
        <w:t>1</w:t>
      </w:r>
      <w:r>
        <w:rPr>
          <w:rFonts w:ascii="宋体" w:hAnsi="宋体" w:eastAsia="宋体" w:cs="宋体"/>
          <w:color w:val="auto"/>
          <w:kern w:val="0"/>
          <w:szCs w:val="21"/>
          <w:highlight w:val="none"/>
        </w:rPr>
        <w:t>”时，《投标分项报价表》中列示的“采购包”亦应为“</w:t>
      </w:r>
      <w:r>
        <w:rPr>
          <w:rFonts w:ascii="Calibri" w:hAnsi="Calibri" w:eastAsia="宋体" w:cs="宋体"/>
          <w:color w:val="auto"/>
          <w:kern w:val="0"/>
          <w:szCs w:val="21"/>
          <w:highlight w:val="none"/>
        </w:rPr>
        <w:t>1</w:t>
      </w:r>
      <w:r>
        <w:rPr>
          <w:rFonts w:ascii="宋体" w:hAnsi="宋体" w:eastAsia="宋体" w:cs="宋体"/>
          <w:color w:val="auto"/>
          <w:kern w:val="0"/>
          <w:szCs w:val="21"/>
          <w:highlight w:val="none"/>
        </w:rPr>
        <w:t>”，以此类推。</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1.3“大写金额”指“投标报价”应用“壹、贰、叁、肆、伍、陆、柒、捌、玖、拾、佰、仟、万、亿、元、角、分、零”等进行填写。</w:t>
      </w:r>
    </w:p>
    <w:p>
      <w:pPr>
        <w:pStyle w:val="18"/>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2、纸质投标文件正本中的本表应为原件。</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spacing w:line="4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投标人：</w:t>
      </w:r>
      <w:r>
        <w:rPr>
          <w:rFonts w:hint="eastAsia" w:asciiTheme="majorEastAsia" w:hAnsiTheme="majorEastAsia" w:eastAsiaTheme="majorEastAsia" w:cstheme="majorEastAsia"/>
          <w:color w:val="auto"/>
          <w:sz w:val="21"/>
          <w:szCs w:val="21"/>
          <w:highlight w:val="none"/>
          <w:u w:val="single"/>
        </w:rPr>
        <w:t>（全称并加盖单位公章）</w:t>
      </w:r>
    </w:p>
    <w:p>
      <w:pPr>
        <w:pStyle w:val="18"/>
        <w:widowControl/>
        <w:spacing w:line="4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投标人代表签字：</w:t>
      </w:r>
      <w:r>
        <w:rPr>
          <w:rFonts w:hint="eastAsia" w:asciiTheme="majorEastAsia" w:hAnsiTheme="majorEastAsia" w:eastAsiaTheme="majorEastAsia" w:cstheme="majorEastAsia"/>
          <w:color w:val="auto"/>
          <w:sz w:val="21"/>
          <w:szCs w:val="21"/>
          <w:highlight w:val="none"/>
          <w:u w:val="single"/>
        </w:rPr>
        <w:t>        </w:t>
      </w:r>
    </w:p>
    <w:p>
      <w:pPr>
        <w:pStyle w:val="18"/>
        <w:widowControl/>
        <w:spacing w:line="4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日期：</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年</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月</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日</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jc w:val="center"/>
        <w:rPr>
          <w:rStyle w:val="25"/>
          <w:rFonts w:asciiTheme="majorEastAsia" w:hAnsiTheme="majorEastAsia" w:eastAsiaTheme="majorEastAsia" w:cstheme="majorEastAsia"/>
          <w:color w:val="auto"/>
          <w:sz w:val="21"/>
          <w:szCs w:val="21"/>
          <w:highlight w:val="none"/>
        </w:rPr>
      </w:pPr>
    </w:p>
    <w:p>
      <w:pPr>
        <w:pStyle w:val="18"/>
        <w:widowControl/>
        <w:jc w:val="center"/>
        <w:rPr>
          <w:rStyle w:val="25"/>
          <w:rFonts w:asciiTheme="majorEastAsia" w:hAnsiTheme="majorEastAsia" w:eastAsiaTheme="majorEastAsia" w:cstheme="majorEastAsia"/>
          <w:color w:val="auto"/>
          <w:sz w:val="21"/>
          <w:szCs w:val="21"/>
          <w:highlight w:val="none"/>
        </w:rPr>
      </w:pPr>
    </w:p>
    <w:p>
      <w:pPr>
        <w:pStyle w:val="18"/>
        <w:widowControl/>
        <w:jc w:val="center"/>
        <w:rPr>
          <w:rStyle w:val="25"/>
          <w:rFonts w:asciiTheme="majorEastAsia" w:hAnsiTheme="majorEastAsia" w:eastAsiaTheme="majorEastAsia" w:cstheme="majorEastAsia"/>
          <w:color w:val="auto"/>
          <w:sz w:val="21"/>
          <w:szCs w:val="21"/>
          <w:highlight w:val="none"/>
        </w:rPr>
      </w:pPr>
    </w:p>
    <w:p>
      <w:pPr>
        <w:pStyle w:val="18"/>
        <w:widowControl/>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sz w:val="21"/>
          <w:szCs w:val="21"/>
          <w:highlight w:val="none"/>
        </w:rPr>
        <w:t>二、投标分项报价表</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keepNext w:val="0"/>
        <w:keepLines w:val="0"/>
        <w:pageBreakBefore w:val="0"/>
        <w:widowControl/>
        <w:kinsoku/>
        <w:wordWrap/>
        <w:overflowPunct/>
        <w:topLinePunct w:val="0"/>
        <w:autoSpaceDE/>
        <w:autoSpaceDN/>
        <w:bidi w:val="0"/>
        <w:snapToGrid/>
        <w:spacing w:line="34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lang w:eastAsia="zh-CN"/>
        </w:rPr>
        <w:t>项目编号</w:t>
      </w:r>
      <w:r>
        <w:rPr>
          <w:rFonts w:hint="eastAsia" w:asciiTheme="majorEastAsia" w:hAnsiTheme="majorEastAsia" w:eastAsiaTheme="majorEastAsia" w:cstheme="majorEastAsia"/>
          <w:color w:val="auto"/>
          <w:sz w:val="21"/>
          <w:szCs w:val="21"/>
          <w:highlight w:val="none"/>
        </w:rPr>
        <w:t>：</w:t>
      </w:r>
      <w:r>
        <w:rPr>
          <w:rFonts w:hint="eastAsia" w:asciiTheme="majorEastAsia" w:hAnsiTheme="majorEastAsia" w:eastAsiaTheme="majorEastAsia" w:cstheme="majorEastAsia"/>
          <w:color w:val="auto"/>
          <w:sz w:val="21"/>
          <w:szCs w:val="21"/>
          <w:highlight w:val="none"/>
          <w:u w:val="single"/>
        </w:rPr>
        <w:t>                   </w:t>
      </w:r>
    </w:p>
    <w:p>
      <w:pPr>
        <w:pStyle w:val="18"/>
        <w:keepNext w:val="0"/>
        <w:keepLines w:val="0"/>
        <w:pageBreakBefore w:val="0"/>
        <w:widowControl/>
        <w:kinsoku/>
        <w:wordWrap/>
        <w:overflowPunct/>
        <w:topLinePunct w:val="0"/>
        <w:autoSpaceDE/>
        <w:autoSpaceDN/>
        <w:bidi w:val="0"/>
        <w:snapToGrid/>
        <w:spacing w:line="340" w:lineRule="exact"/>
        <w:jc w:val="righ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货币及单位：人民币元</w:t>
      </w:r>
    </w:p>
    <w:tbl>
      <w:tblPr>
        <w:tblStyle w:val="21"/>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515"/>
        <w:gridCol w:w="953"/>
        <w:gridCol w:w="1490"/>
        <w:gridCol w:w="1230"/>
        <w:gridCol w:w="848"/>
        <w:gridCol w:w="989"/>
        <w:gridCol w:w="588"/>
        <w:gridCol w:w="1085"/>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70" w:type="dxa"/>
            <w:shd w:val="clear" w:color="auto" w:fill="auto"/>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snapToGrid/>
              <w:spacing w:line="340" w:lineRule="exact"/>
              <w:jc w:val="center"/>
              <w:rPr>
                <w:rFonts w:asciiTheme="majorEastAsia" w:hAnsiTheme="majorEastAsia" w:eastAsiaTheme="majorEastAsia" w:cstheme="majorEastAsia"/>
                <w:color w:val="auto"/>
                <w:highlight w:val="none"/>
              </w:rPr>
            </w:pPr>
            <w:r>
              <w:rPr>
                <w:rFonts w:ascii="宋体" w:hAnsi="宋体" w:eastAsia="宋体" w:cs="宋体"/>
                <w:color w:val="auto"/>
                <w:kern w:val="0"/>
                <w:szCs w:val="21"/>
                <w:highlight w:val="none"/>
              </w:rPr>
              <w:t>采购包</w:t>
            </w:r>
          </w:p>
        </w:tc>
        <w:tc>
          <w:tcPr>
            <w:tcW w:w="923" w:type="dxa"/>
            <w:shd w:val="clear" w:color="auto" w:fill="auto"/>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snapToGrid/>
              <w:spacing w:line="34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品目号</w:t>
            </w:r>
          </w:p>
        </w:tc>
        <w:tc>
          <w:tcPr>
            <w:tcW w:w="1460" w:type="dxa"/>
            <w:shd w:val="clear" w:color="auto" w:fill="auto"/>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snapToGrid/>
              <w:spacing w:line="34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投标标的</w:t>
            </w:r>
          </w:p>
        </w:tc>
        <w:tc>
          <w:tcPr>
            <w:tcW w:w="1200" w:type="dxa"/>
            <w:shd w:val="clear" w:color="auto" w:fill="auto"/>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snapToGrid/>
              <w:spacing w:line="34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规格</w:t>
            </w:r>
          </w:p>
        </w:tc>
        <w:tc>
          <w:tcPr>
            <w:tcW w:w="818" w:type="dxa"/>
            <w:shd w:val="clear" w:color="auto" w:fill="auto"/>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snapToGrid/>
              <w:spacing w:line="34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来源地</w:t>
            </w:r>
          </w:p>
        </w:tc>
        <w:tc>
          <w:tcPr>
            <w:tcW w:w="959" w:type="dxa"/>
            <w:shd w:val="clear" w:color="auto" w:fill="auto"/>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snapToGrid/>
              <w:spacing w:line="34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单价</w:t>
            </w:r>
          </w:p>
          <w:p>
            <w:pPr>
              <w:pStyle w:val="18"/>
              <w:keepNext w:val="0"/>
              <w:keepLines w:val="0"/>
              <w:pageBreakBefore w:val="0"/>
              <w:widowControl/>
              <w:kinsoku/>
              <w:wordWrap/>
              <w:overflowPunct/>
              <w:topLinePunct w:val="0"/>
              <w:autoSpaceDE/>
              <w:autoSpaceDN/>
              <w:bidi w:val="0"/>
              <w:snapToGrid/>
              <w:spacing w:line="34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（现场）</w:t>
            </w:r>
          </w:p>
        </w:tc>
        <w:tc>
          <w:tcPr>
            <w:tcW w:w="558" w:type="dxa"/>
            <w:shd w:val="clear" w:color="auto" w:fill="auto"/>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snapToGrid/>
              <w:spacing w:line="34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数量</w:t>
            </w:r>
          </w:p>
        </w:tc>
        <w:tc>
          <w:tcPr>
            <w:tcW w:w="1055" w:type="dxa"/>
            <w:shd w:val="clear" w:color="auto" w:fill="auto"/>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snapToGrid/>
              <w:spacing w:line="34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总价</w:t>
            </w:r>
          </w:p>
          <w:p>
            <w:pPr>
              <w:pStyle w:val="18"/>
              <w:keepNext w:val="0"/>
              <w:keepLines w:val="0"/>
              <w:pageBreakBefore w:val="0"/>
              <w:widowControl/>
              <w:kinsoku/>
              <w:wordWrap/>
              <w:overflowPunct/>
              <w:topLinePunct w:val="0"/>
              <w:autoSpaceDE/>
              <w:autoSpaceDN/>
              <w:bidi w:val="0"/>
              <w:snapToGrid/>
              <w:spacing w:line="34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（现场）</w:t>
            </w:r>
          </w:p>
        </w:tc>
        <w:tc>
          <w:tcPr>
            <w:tcW w:w="777" w:type="dxa"/>
            <w:shd w:val="clear" w:color="auto" w:fill="auto"/>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snapToGrid/>
              <w:spacing w:line="34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70" w:type="dxa"/>
            <w:vMerge w:val="restart"/>
            <w:shd w:val="clear" w:color="auto" w:fill="auto"/>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snapToGrid/>
              <w:spacing w:line="340" w:lineRule="exact"/>
              <w:jc w:val="center"/>
              <w:rPr>
                <w:rFonts w:hint="eastAsia" w:asciiTheme="majorEastAsia" w:hAnsiTheme="majorEastAsia" w:eastAsiaTheme="majorEastAsia" w:cstheme="majorEastAsia"/>
                <w:color w:val="auto"/>
                <w:sz w:val="21"/>
                <w:szCs w:val="21"/>
                <w:highlight w:val="none"/>
                <w:lang w:val="en-US" w:eastAsia="zh-CN"/>
              </w:rPr>
            </w:pPr>
          </w:p>
        </w:tc>
        <w:tc>
          <w:tcPr>
            <w:tcW w:w="923" w:type="dxa"/>
            <w:shd w:val="clear" w:color="auto" w:fill="auto"/>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snapToGrid/>
              <w:spacing w:line="340" w:lineRule="exact"/>
              <w:jc w:val="cente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lang w:val="en-US" w:eastAsia="zh-CN"/>
              </w:rPr>
              <w:t>1</w:t>
            </w:r>
            <w:r>
              <w:rPr>
                <w:rFonts w:hint="eastAsia" w:asciiTheme="majorEastAsia" w:hAnsiTheme="majorEastAsia" w:eastAsiaTheme="majorEastAsia" w:cstheme="majorEastAsia"/>
                <w:color w:val="auto"/>
                <w:sz w:val="21"/>
                <w:szCs w:val="21"/>
                <w:highlight w:val="none"/>
              </w:rPr>
              <w:t>-1</w:t>
            </w:r>
          </w:p>
        </w:tc>
        <w:tc>
          <w:tcPr>
            <w:tcW w:w="1460"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200" w:type="dxa"/>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818"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959"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558"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055"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777"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70" w:type="dxa"/>
            <w:vMerge w:val="continue"/>
            <w:shd w:val="clear" w:color="auto" w:fill="auto"/>
            <w:tcMar>
              <w:top w:w="0" w:type="dxa"/>
              <w:left w:w="105" w:type="dxa"/>
              <w:bottom w:w="0" w:type="dxa"/>
              <w:right w:w="105" w:type="dxa"/>
            </w:tcMar>
            <w:vAlign w:val="center"/>
          </w:tcPr>
          <w:p>
            <w:pPr>
              <w:pStyle w:val="33"/>
              <w:keepNext w:val="0"/>
              <w:keepLines w:val="0"/>
              <w:pageBreakBefore w:val="0"/>
              <w:kinsoku/>
              <w:wordWrap/>
              <w:overflowPunct/>
              <w:topLinePunct w:val="0"/>
              <w:autoSpaceDE/>
              <w:autoSpaceDN/>
              <w:bidi w:val="0"/>
              <w:snapToGrid/>
              <w:spacing w:line="340" w:lineRule="exact"/>
              <w:rPr>
                <w:color w:val="auto"/>
                <w:highlight w:val="none"/>
              </w:rPr>
            </w:pPr>
          </w:p>
        </w:tc>
        <w:tc>
          <w:tcPr>
            <w:tcW w:w="923" w:type="dxa"/>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460"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200" w:type="dxa"/>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818"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959"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558"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055"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777"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7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snapToGrid/>
              <w:spacing w:line="340" w:lineRule="exact"/>
              <w:rPr>
                <w:rFonts w:asciiTheme="majorEastAsia" w:hAnsiTheme="majorEastAsia" w:eastAsiaTheme="majorEastAsia" w:cstheme="majorEastAsia"/>
                <w:color w:val="auto"/>
                <w:sz w:val="24"/>
                <w:highlight w:val="none"/>
              </w:rPr>
            </w:pPr>
          </w:p>
        </w:tc>
        <w:tc>
          <w:tcPr>
            <w:tcW w:w="923" w:type="dxa"/>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w:t>
            </w:r>
          </w:p>
        </w:tc>
        <w:tc>
          <w:tcPr>
            <w:tcW w:w="1460"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200" w:type="dxa"/>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818"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959"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558"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055"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777"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7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snapToGrid/>
              <w:spacing w:line="340" w:lineRule="exact"/>
              <w:rPr>
                <w:rFonts w:asciiTheme="majorEastAsia" w:hAnsiTheme="majorEastAsia" w:eastAsiaTheme="majorEastAsia" w:cstheme="majorEastAsia"/>
                <w:color w:val="auto"/>
                <w:sz w:val="24"/>
                <w:highlight w:val="none"/>
              </w:rPr>
            </w:pPr>
          </w:p>
        </w:tc>
        <w:tc>
          <w:tcPr>
            <w:tcW w:w="923" w:type="dxa"/>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w:t>
            </w:r>
          </w:p>
        </w:tc>
        <w:tc>
          <w:tcPr>
            <w:tcW w:w="1460"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200" w:type="dxa"/>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818"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959"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558"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055"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777"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7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snapToGrid/>
              <w:spacing w:line="340" w:lineRule="exact"/>
              <w:rPr>
                <w:rFonts w:asciiTheme="majorEastAsia" w:hAnsiTheme="majorEastAsia" w:eastAsiaTheme="majorEastAsia" w:cstheme="majorEastAsia"/>
                <w:color w:val="auto"/>
                <w:sz w:val="24"/>
                <w:highlight w:val="none"/>
              </w:rPr>
            </w:pPr>
          </w:p>
        </w:tc>
        <w:tc>
          <w:tcPr>
            <w:tcW w:w="923" w:type="dxa"/>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w:t>
            </w:r>
          </w:p>
        </w:tc>
        <w:tc>
          <w:tcPr>
            <w:tcW w:w="1460"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200" w:type="dxa"/>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818"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959"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558"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055"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777"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7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snapToGrid/>
              <w:spacing w:line="340" w:lineRule="exact"/>
              <w:rPr>
                <w:rFonts w:asciiTheme="majorEastAsia" w:hAnsiTheme="majorEastAsia" w:eastAsiaTheme="majorEastAsia" w:cstheme="majorEastAsia"/>
                <w:color w:val="auto"/>
                <w:sz w:val="24"/>
                <w:highlight w:val="none"/>
              </w:rPr>
            </w:pPr>
          </w:p>
        </w:tc>
        <w:tc>
          <w:tcPr>
            <w:tcW w:w="923" w:type="dxa"/>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460"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200" w:type="dxa"/>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818"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959"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558"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055"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777"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70" w:type="dxa"/>
            <w:shd w:val="clear" w:color="auto" w:fill="auto"/>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snapToGrid/>
              <w:spacing w:line="340" w:lineRule="exact"/>
              <w:jc w:val="center"/>
              <w:rPr>
                <w:rFonts w:asciiTheme="majorEastAsia" w:hAnsiTheme="majorEastAsia" w:eastAsiaTheme="majorEastAsia" w:cstheme="majorEastAsia"/>
                <w:color w:val="auto"/>
                <w:highlight w:val="none"/>
              </w:rPr>
            </w:pPr>
          </w:p>
        </w:tc>
        <w:tc>
          <w:tcPr>
            <w:tcW w:w="923" w:type="dxa"/>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合计</w:t>
            </w:r>
          </w:p>
        </w:tc>
        <w:tc>
          <w:tcPr>
            <w:tcW w:w="1460"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200" w:type="dxa"/>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818"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959"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558"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1055"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c>
          <w:tcPr>
            <w:tcW w:w="777" w:type="dxa"/>
            <w:shd w:val="clear" w:color="auto" w:fill="auto"/>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line="340" w:lineRule="exact"/>
              <w:jc w:val="left"/>
              <w:rPr>
                <w:rFonts w:asciiTheme="majorEastAsia" w:hAnsiTheme="majorEastAsia" w:eastAsiaTheme="majorEastAsia" w:cstheme="majorEastAsia"/>
                <w:color w:val="auto"/>
                <w:highlight w:val="none"/>
              </w:rPr>
            </w:pPr>
          </w:p>
        </w:tc>
      </w:tr>
    </w:tbl>
    <w:p>
      <w:pPr>
        <w:keepNext w:val="0"/>
        <w:keepLines w:val="0"/>
        <w:pageBreakBefore w:val="0"/>
        <w:widowControl/>
        <w:kinsoku/>
        <w:wordWrap/>
        <w:overflowPunct/>
        <w:topLinePunct w:val="0"/>
        <w:autoSpaceDE/>
        <w:autoSpaceDN/>
        <w:bidi w:val="0"/>
        <w:adjustRightInd/>
        <w:snapToGrid/>
        <w:spacing w:beforeAutospacing="0" w:afterAutospacing="0" w:line="380" w:lineRule="exact"/>
        <w:jc w:val="left"/>
        <w:textAlignment w:val="auto"/>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注意：</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jc w:val="left"/>
        <w:textAlignment w:val="auto"/>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1、本表应按照下列规定填写：</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jc w:val="left"/>
        <w:textAlignment w:val="auto"/>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w:t>
      </w:r>
      <w:r>
        <w:rPr>
          <w:rFonts w:ascii="Calibri" w:hAnsi="Calibri" w:eastAsia="宋体" w:cs="宋体"/>
          <w:color w:val="auto"/>
          <w:kern w:val="0"/>
          <w:sz w:val="21"/>
          <w:szCs w:val="21"/>
          <w:highlight w:val="none"/>
        </w:rPr>
        <w:t>1</w:t>
      </w:r>
      <w:r>
        <w:rPr>
          <w:rFonts w:ascii="宋体" w:hAnsi="宋体" w:eastAsia="宋体" w:cs="宋体"/>
          <w:color w:val="auto"/>
          <w:kern w:val="0"/>
          <w:sz w:val="21"/>
          <w:szCs w:val="21"/>
          <w:highlight w:val="none"/>
        </w:rPr>
        <w:t>”时，本表中列示的“采购包”亦应为“</w:t>
      </w:r>
      <w:r>
        <w:rPr>
          <w:rFonts w:ascii="Calibri" w:hAnsi="Calibri" w:eastAsia="宋体" w:cs="宋体"/>
          <w:color w:val="auto"/>
          <w:kern w:val="0"/>
          <w:sz w:val="21"/>
          <w:szCs w:val="21"/>
          <w:highlight w:val="none"/>
        </w:rPr>
        <w:t>1</w:t>
      </w:r>
      <w:r>
        <w:rPr>
          <w:rFonts w:ascii="宋体" w:hAnsi="宋体" w:eastAsia="宋体" w:cs="宋体"/>
          <w:color w:val="auto"/>
          <w:kern w:val="0"/>
          <w:sz w:val="21"/>
          <w:szCs w:val="21"/>
          <w:highlight w:val="none"/>
        </w:rPr>
        <w:t>”，以此类推。</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jc w:val="left"/>
        <w:textAlignment w:val="auto"/>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1.2“投标标的”为货物的：</w:t>
      </w:r>
      <w:r>
        <w:rPr>
          <w:rFonts w:ascii="宋体" w:hAnsi="宋体" w:eastAsia="宋体" w:cs="宋体"/>
          <w:b/>
          <w:bCs/>
          <w:color w:val="auto"/>
          <w:kern w:val="0"/>
          <w:sz w:val="21"/>
          <w:szCs w:val="21"/>
          <w:highlight w:val="none"/>
        </w:rPr>
        <w:t>“规格”</w:t>
      </w:r>
      <w:r>
        <w:rPr>
          <w:rFonts w:ascii="宋体" w:hAnsi="宋体" w:eastAsia="宋体" w:cs="宋体"/>
          <w:color w:val="auto"/>
          <w:kern w:val="0"/>
          <w:sz w:val="21"/>
          <w:szCs w:val="21"/>
          <w:highlight w:val="none"/>
        </w:rPr>
        <w:t>项下应填写货物制造厂商赋予的品牌（属于节能、环保清单产品的货物，填写的品牌名称应与清单载明的品牌名称保持一致）及具体型号。</w:t>
      </w:r>
      <w:r>
        <w:rPr>
          <w:rFonts w:ascii="宋体" w:hAnsi="宋体" w:eastAsia="宋体" w:cs="宋体"/>
          <w:b/>
          <w:bCs/>
          <w:color w:val="auto"/>
          <w:kern w:val="0"/>
          <w:sz w:val="21"/>
          <w:szCs w:val="21"/>
          <w:highlight w:val="none"/>
        </w:rPr>
        <w:t>“来源地”</w:t>
      </w:r>
      <w:r>
        <w:rPr>
          <w:rFonts w:ascii="宋体" w:hAnsi="宋体" w:eastAsia="宋体" w:cs="宋体"/>
          <w:color w:val="auto"/>
          <w:kern w:val="0"/>
          <w:sz w:val="21"/>
          <w:szCs w:val="21"/>
          <w:highlight w:val="none"/>
        </w:rPr>
        <w:t>应填写货物的原产地。</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jc w:val="left"/>
        <w:textAlignment w:val="auto"/>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1.3“投标标的”为服务的：</w:t>
      </w:r>
      <w:r>
        <w:rPr>
          <w:rFonts w:ascii="宋体" w:hAnsi="宋体" w:eastAsia="宋体" w:cs="宋体"/>
          <w:b/>
          <w:bCs/>
          <w:color w:val="auto"/>
          <w:kern w:val="0"/>
          <w:sz w:val="21"/>
          <w:szCs w:val="21"/>
          <w:highlight w:val="none"/>
        </w:rPr>
        <w:t>“规格”</w:t>
      </w:r>
      <w:r>
        <w:rPr>
          <w:rFonts w:ascii="宋体" w:hAnsi="宋体" w:eastAsia="宋体" w:cs="宋体"/>
          <w:color w:val="auto"/>
          <w:kern w:val="0"/>
          <w:sz w:val="21"/>
          <w:szCs w:val="21"/>
          <w:highlight w:val="none"/>
        </w:rPr>
        <w:t>项下应填写服务提供者提供的服务标准及品牌（若有）。</w:t>
      </w:r>
      <w:r>
        <w:rPr>
          <w:rFonts w:ascii="宋体" w:hAnsi="宋体" w:eastAsia="宋体" w:cs="宋体"/>
          <w:b/>
          <w:bCs/>
          <w:color w:val="auto"/>
          <w:kern w:val="0"/>
          <w:sz w:val="21"/>
          <w:szCs w:val="21"/>
          <w:highlight w:val="none"/>
        </w:rPr>
        <w:t>“来源地”</w:t>
      </w:r>
      <w:r>
        <w:rPr>
          <w:rFonts w:ascii="宋体" w:hAnsi="宋体" w:eastAsia="宋体" w:cs="宋体"/>
          <w:color w:val="auto"/>
          <w:kern w:val="0"/>
          <w:sz w:val="21"/>
          <w:szCs w:val="21"/>
          <w:highlight w:val="none"/>
        </w:rPr>
        <w:t>应填写服务提供者的所在地。</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jc w:val="left"/>
        <w:textAlignment w:val="auto"/>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1.4同一采购包中，</w:t>
      </w:r>
      <w:r>
        <w:rPr>
          <w:rFonts w:ascii="宋体" w:hAnsi="宋体" w:eastAsia="宋体" w:cs="宋体"/>
          <w:b/>
          <w:bCs/>
          <w:color w:val="auto"/>
          <w:kern w:val="0"/>
          <w:sz w:val="21"/>
          <w:szCs w:val="21"/>
          <w:highlight w:val="none"/>
        </w:rPr>
        <w:t>“单价（现场）”</w:t>
      </w:r>
      <w:r>
        <w:rPr>
          <w:rFonts w:ascii="宋体" w:hAnsi="宋体" w:eastAsia="宋体" w:cs="宋体"/>
          <w:color w:val="auto"/>
          <w:kern w:val="0"/>
          <w:sz w:val="21"/>
          <w:szCs w:val="21"/>
          <w:highlight w:val="none"/>
        </w:rPr>
        <w:t>×</w:t>
      </w:r>
      <w:r>
        <w:rPr>
          <w:rFonts w:ascii="宋体" w:hAnsi="宋体" w:eastAsia="宋体" w:cs="宋体"/>
          <w:b/>
          <w:bCs/>
          <w:color w:val="auto"/>
          <w:kern w:val="0"/>
          <w:sz w:val="21"/>
          <w:szCs w:val="21"/>
          <w:highlight w:val="none"/>
        </w:rPr>
        <w:t>“数量”</w:t>
      </w:r>
      <w:r>
        <w:rPr>
          <w:rFonts w:ascii="宋体" w:hAnsi="宋体" w:eastAsia="宋体" w:cs="宋体"/>
          <w:color w:val="auto"/>
          <w:kern w:val="0"/>
          <w:sz w:val="21"/>
          <w:szCs w:val="21"/>
          <w:highlight w:val="none"/>
        </w:rPr>
        <w:t>=</w:t>
      </w:r>
      <w:r>
        <w:rPr>
          <w:rFonts w:ascii="宋体" w:hAnsi="宋体" w:eastAsia="宋体" w:cs="宋体"/>
          <w:b/>
          <w:bCs/>
          <w:color w:val="auto"/>
          <w:kern w:val="0"/>
          <w:sz w:val="21"/>
          <w:szCs w:val="21"/>
          <w:highlight w:val="none"/>
        </w:rPr>
        <w:t>“总价（现场）”</w:t>
      </w:r>
      <w:r>
        <w:rPr>
          <w:rFonts w:ascii="宋体" w:hAnsi="宋体" w:eastAsia="宋体" w:cs="宋体"/>
          <w:color w:val="auto"/>
          <w:kern w:val="0"/>
          <w:sz w:val="21"/>
          <w:szCs w:val="21"/>
          <w:highlight w:val="none"/>
        </w:rPr>
        <w:t>，全部品目号</w:t>
      </w:r>
      <w:r>
        <w:rPr>
          <w:rFonts w:ascii="宋体" w:hAnsi="宋体" w:eastAsia="宋体" w:cs="宋体"/>
          <w:b/>
          <w:bCs/>
          <w:color w:val="auto"/>
          <w:kern w:val="0"/>
          <w:sz w:val="21"/>
          <w:szCs w:val="21"/>
          <w:highlight w:val="none"/>
        </w:rPr>
        <w:t>“总价（现场）”</w:t>
      </w:r>
      <w:r>
        <w:rPr>
          <w:rFonts w:ascii="宋体" w:hAnsi="宋体" w:eastAsia="宋体" w:cs="宋体"/>
          <w:color w:val="auto"/>
          <w:kern w:val="0"/>
          <w:sz w:val="21"/>
          <w:szCs w:val="21"/>
          <w:highlight w:val="none"/>
        </w:rPr>
        <w:t>的合计金额应与《开标一览表》中相应采购包列示的</w:t>
      </w:r>
      <w:r>
        <w:rPr>
          <w:rFonts w:ascii="宋体" w:hAnsi="宋体" w:eastAsia="宋体" w:cs="宋体"/>
          <w:b/>
          <w:bCs/>
          <w:color w:val="auto"/>
          <w:kern w:val="0"/>
          <w:sz w:val="21"/>
          <w:szCs w:val="21"/>
          <w:highlight w:val="none"/>
        </w:rPr>
        <w:t>“投标总价”</w:t>
      </w:r>
      <w:r>
        <w:rPr>
          <w:rFonts w:ascii="宋体" w:hAnsi="宋体" w:eastAsia="宋体" w:cs="宋体"/>
          <w:color w:val="auto"/>
          <w:kern w:val="0"/>
          <w:sz w:val="21"/>
          <w:szCs w:val="21"/>
          <w:highlight w:val="none"/>
        </w:rPr>
        <w:t>保持一致。</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jc w:val="left"/>
        <w:textAlignment w:val="auto"/>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1.5若招标文件要求投标人对“备品备件价格、专用工具价格、技术服务费、安装调试费、检验培训费、运输费、保险费、税收”等进行报价的，请在本表的</w:t>
      </w:r>
      <w:r>
        <w:rPr>
          <w:rFonts w:ascii="宋体" w:hAnsi="宋体" w:eastAsia="宋体" w:cs="宋体"/>
          <w:b/>
          <w:bCs/>
          <w:color w:val="auto"/>
          <w:kern w:val="0"/>
          <w:sz w:val="21"/>
          <w:szCs w:val="21"/>
          <w:highlight w:val="none"/>
        </w:rPr>
        <w:t>“备注”</w:t>
      </w:r>
      <w:r>
        <w:rPr>
          <w:rFonts w:ascii="宋体" w:hAnsi="宋体" w:eastAsia="宋体" w:cs="宋体"/>
          <w:color w:val="auto"/>
          <w:kern w:val="0"/>
          <w:sz w:val="21"/>
          <w:szCs w:val="21"/>
          <w:highlight w:val="none"/>
        </w:rPr>
        <w:t>项下填写。</w:t>
      </w:r>
    </w:p>
    <w:p>
      <w:pPr>
        <w:pStyle w:val="18"/>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2、纸质投标文件正本中的本表应为原件。</w:t>
      </w:r>
    </w:p>
    <w:p>
      <w:pPr>
        <w:pStyle w:val="18"/>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 </w:t>
      </w:r>
    </w:p>
    <w:p>
      <w:pPr>
        <w:pStyle w:val="18"/>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投标人：</w:t>
      </w:r>
      <w:r>
        <w:rPr>
          <w:rFonts w:hint="eastAsia" w:asciiTheme="majorEastAsia" w:hAnsiTheme="majorEastAsia" w:eastAsiaTheme="majorEastAsia" w:cstheme="majorEastAsia"/>
          <w:color w:val="auto"/>
          <w:sz w:val="21"/>
          <w:szCs w:val="21"/>
          <w:highlight w:val="none"/>
          <w:u w:val="single"/>
        </w:rPr>
        <w:t>（全称并加盖单位公章）</w:t>
      </w:r>
    </w:p>
    <w:p>
      <w:pPr>
        <w:pStyle w:val="18"/>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投标人代表签字：</w:t>
      </w:r>
      <w:r>
        <w:rPr>
          <w:rFonts w:hint="eastAsia" w:asciiTheme="majorEastAsia" w:hAnsiTheme="majorEastAsia" w:eastAsiaTheme="majorEastAsia" w:cstheme="majorEastAsia"/>
          <w:color w:val="auto"/>
          <w:sz w:val="21"/>
          <w:szCs w:val="21"/>
          <w:highlight w:val="none"/>
          <w:u w:val="single"/>
        </w:rPr>
        <w:t>        </w:t>
      </w:r>
    </w:p>
    <w:p>
      <w:pPr>
        <w:pStyle w:val="18"/>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日期：</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年</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月</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日</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br w:type="textWrapping"/>
      </w:r>
      <w:r>
        <w:rPr>
          <w:rFonts w:ascii="宋体" w:hAnsi="宋体" w:eastAsia="宋体" w:cs="宋体"/>
          <w:b/>
          <w:bCs/>
          <w:color w:val="auto"/>
          <w:kern w:val="0"/>
          <w:szCs w:val="21"/>
          <w:highlight w:val="none"/>
        </w:rPr>
        <w:t>三、招标文件规定的价格扣除证明材料（若有）</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三-1优先类节能产品、环境标志产品价格扣除证明材料（若有）</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三-1-</w:t>
      </w:r>
      <w:r>
        <w:rPr>
          <w:rFonts w:hint="eastAsia" w:ascii="宋体" w:hAnsi="宋体" w:eastAsia="宋体" w:cs="宋体"/>
          <w:b/>
          <w:bCs/>
          <w:color w:val="auto"/>
          <w:kern w:val="0"/>
          <w:szCs w:val="21"/>
          <w:highlight w:val="none"/>
        </w:rPr>
        <w:t>①</w:t>
      </w:r>
      <w:r>
        <w:rPr>
          <w:rFonts w:ascii="宋体" w:hAnsi="宋体" w:eastAsia="宋体" w:cs="宋体"/>
          <w:b/>
          <w:bCs/>
          <w:color w:val="auto"/>
          <w:kern w:val="0"/>
          <w:szCs w:val="21"/>
          <w:highlight w:val="none"/>
        </w:rPr>
        <w:t>优先类节能产品、环境标志产品统计表（价格扣除适用，若有）</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项目编号：</w:t>
      </w:r>
      <w:r>
        <w:rPr>
          <w:rFonts w:ascii="宋体" w:hAnsi="宋体" w:eastAsia="宋体" w:cs="宋体"/>
          <w:color w:val="auto"/>
          <w:kern w:val="0"/>
          <w:szCs w:val="21"/>
          <w:highlight w:val="none"/>
          <w:u w:val="single"/>
        </w:rPr>
        <w:t>                   </w:t>
      </w:r>
    </w:p>
    <w:p>
      <w:pPr>
        <w:widowControl/>
        <w:spacing w:before="100" w:beforeAutospacing="1" w:after="100" w:afterAutospacing="1"/>
        <w:jc w:val="righ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货币及单位：人民币元</w:t>
      </w:r>
    </w:p>
    <w:tbl>
      <w:tblPr>
        <w:tblStyle w:val="21"/>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1219"/>
        <w:gridCol w:w="1215"/>
        <w:gridCol w:w="1209"/>
        <w:gridCol w:w="1221"/>
        <w:gridCol w:w="1209"/>
        <w:gridCol w:w="1222"/>
        <w:gridCol w:w="122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15"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7305" w:type="dxa"/>
            <w:gridSpan w:val="6"/>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本采购包内属于节能、环境标志产品的情况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1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采购包</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品目号</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货物名称</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单价</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（现场）</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数量</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总价</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（现场）</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认证种类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15"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vMerge w:val="continue"/>
            <w:tcBorders>
              <w:top w:val="nil"/>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t>…</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1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备注</w:t>
            </w:r>
          </w:p>
        </w:tc>
        <w:tc>
          <w:tcPr>
            <w:tcW w:w="7305" w:type="dxa"/>
            <w:gridSpan w:val="6"/>
            <w:tcBorders>
              <w:top w:val="nil"/>
              <w:left w:val="nil"/>
              <w:bottom w:val="outset" w:color="auto" w:sz="6" w:space="0"/>
              <w:right w:val="outset" w:color="auto" w:sz="6" w:space="0"/>
            </w:tcBorders>
            <w:tcMar>
              <w:top w:w="0" w:type="dxa"/>
              <w:left w:w="105" w:type="dxa"/>
              <w:bottom w:w="0" w:type="dxa"/>
              <w:right w:w="105" w:type="dxa"/>
            </w:tcMar>
          </w:tcPr>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a.采购包内属于节能、环境标志产品的报价总金额：</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b.采购包投标总价（报价总金额）：</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c.“采购包内属于节能、环境标志产品的报价总金额”占“采购包投标总价（报价总金额）”的比例（以</w:t>
            </w:r>
            <w:r>
              <w:rPr>
                <w:rFonts w:ascii="Calibri" w:hAnsi="Calibri" w:eastAsia="宋体" w:cs="宋体"/>
                <w:color w:val="auto"/>
                <w:kern w:val="0"/>
                <w:szCs w:val="21"/>
                <w:highlight w:val="none"/>
              </w:rPr>
              <w:t>%</w:t>
            </w:r>
            <w:r>
              <w:rPr>
                <w:rFonts w:ascii="宋体" w:hAnsi="宋体" w:eastAsia="宋体" w:cs="宋体"/>
                <w:color w:val="auto"/>
                <w:kern w:val="0"/>
                <w:szCs w:val="21"/>
                <w:highlight w:val="none"/>
              </w:rPr>
              <w:t>列示）：</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w:t>
            </w:r>
          </w:p>
        </w:tc>
      </w:tr>
    </w:tbl>
    <w:p>
      <w:pPr>
        <w:widowControl/>
        <w:spacing w:before="100" w:beforeAutospacing="1" w:after="100" w:afterAutospacing="1"/>
        <w:jc w:val="left"/>
        <w:rPr>
          <w:rFonts w:ascii="宋体" w:hAnsi="宋体" w:eastAsia="宋体" w:cs="宋体"/>
          <w:color w:val="auto"/>
          <w:kern w:val="0"/>
          <w:sz w:val="24"/>
          <w:szCs w:val="24"/>
          <w:highlight w:val="none"/>
        </w:rPr>
      </w:pPr>
      <w:r>
        <w:rPr>
          <w:rFonts w:hint="eastAsia" w:ascii="宋体" w:hAnsi="宋体" w:eastAsia="宋体" w:cs="宋体"/>
          <w:color w:val="auto"/>
          <w:kern w:val="0"/>
          <w:szCs w:val="21"/>
          <w:highlight w:val="none"/>
        </w:rPr>
        <w:t>※</w:t>
      </w:r>
      <w:r>
        <w:rPr>
          <w:rFonts w:ascii="宋体" w:hAnsi="宋体" w:eastAsia="宋体" w:cs="宋体"/>
          <w:color w:val="auto"/>
          <w:kern w:val="0"/>
          <w:szCs w:val="21"/>
          <w:highlight w:val="none"/>
        </w:rPr>
        <w:t>注意：</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1、对节能、环境标志产品计算价格扣除时，只依据投标文件</w:t>
      </w:r>
      <w:r>
        <w:rPr>
          <w:rFonts w:ascii="宋体" w:hAnsi="宋体" w:eastAsia="宋体" w:cs="宋体"/>
          <w:b/>
          <w:bCs/>
          <w:color w:val="auto"/>
          <w:kern w:val="0"/>
          <w:szCs w:val="21"/>
          <w:highlight w:val="none"/>
        </w:rPr>
        <w:t>“三</w:t>
      </w:r>
      <w:r>
        <w:rPr>
          <w:rFonts w:ascii="Calibri" w:hAnsi="Calibri" w:eastAsia="宋体" w:cs="宋体"/>
          <w:b/>
          <w:bCs/>
          <w:color w:val="auto"/>
          <w:kern w:val="0"/>
          <w:szCs w:val="21"/>
          <w:highlight w:val="none"/>
        </w:rPr>
        <w:t>-1-</w:t>
      </w:r>
      <w:r>
        <w:rPr>
          <w:rFonts w:hint="eastAsia" w:ascii="宋体" w:hAnsi="宋体" w:eastAsia="宋体" w:cs="宋体"/>
          <w:b/>
          <w:bCs/>
          <w:color w:val="auto"/>
          <w:kern w:val="0"/>
          <w:szCs w:val="21"/>
          <w:highlight w:val="none"/>
        </w:rPr>
        <w:t>②</w:t>
      </w:r>
      <w:r>
        <w:rPr>
          <w:rFonts w:ascii="宋体" w:hAnsi="宋体" w:eastAsia="宋体" w:cs="宋体"/>
          <w:b/>
          <w:bCs/>
          <w:color w:val="auto"/>
          <w:kern w:val="0"/>
          <w:szCs w:val="21"/>
          <w:highlight w:val="none"/>
        </w:rPr>
        <w:t>优先类节能产品、环境标志产品证明材料（价格扣除适用，若有）”。</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2、本表以采购包为单位，不同采购包请分别填写；同一采购包请按照其品目号顺序分别填写。</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3、具体统计、计算：</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3.1若节能、环境标志产品仅是构成投标产品的部件、组件或零件，则该投标产品不享受鼓励优惠政策。同一品目中各认证证书不重复计算价格扣除。强制类节能产品不享受价格扣除。</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3.2计算结果若除不尽，可四舍五入保留到小数点后两位。</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3.3投标人应按照招标文件要求认真统计、计算，否则评标委员会不予认定。</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3.4若无节能、环境标志产品，不填写本表，否则，</w:t>
      </w:r>
      <w:r>
        <w:rPr>
          <w:rFonts w:ascii="宋体" w:hAnsi="宋体" w:eastAsia="宋体" w:cs="宋体"/>
          <w:b/>
          <w:bCs/>
          <w:color w:val="auto"/>
          <w:kern w:val="0"/>
          <w:szCs w:val="21"/>
          <w:highlight w:val="none"/>
        </w:rPr>
        <w:t>视为提供虚假材料。</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投标人：</w:t>
      </w:r>
      <w:r>
        <w:rPr>
          <w:rFonts w:ascii="宋体" w:hAnsi="宋体" w:eastAsia="宋体" w:cs="宋体"/>
          <w:color w:val="auto"/>
          <w:kern w:val="0"/>
          <w:szCs w:val="21"/>
          <w:highlight w:val="none"/>
          <w:u w:val="single"/>
        </w:rPr>
        <w:t>（全称并加盖单位公章）</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日期：</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年</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月</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日</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jc w:val="left"/>
        <w:rPr>
          <w:rFonts w:ascii="Calibri" w:hAnsi="Calibri" w:eastAsia="宋体" w:cs="宋体"/>
          <w:b/>
          <w:bCs/>
          <w:color w:val="auto"/>
          <w:kern w:val="0"/>
          <w:szCs w:val="21"/>
          <w:highlight w:val="none"/>
        </w:rPr>
      </w:pPr>
      <w:r>
        <w:rPr>
          <w:rFonts w:ascii="Calibri" w:hAnsi="Calibri" w:eastAsia="宋体" w:cs="宋体"/>
          <w:b/>
          <w:bCs/>
          <w:color w:val="auto"/>
          <w:kern w:val="0"/>
          <w:szCs w:val="21"/>
          <w:highlight w:val="none"/>
        </w:rPr>
        <w:br w:type="page"/>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b/>
          <w:bCs/>
          <w:color w:val="auto"/>
          <w:kern w:val="0"/>
          <w:szCs w:val="21"/>
          <w:highlight w:val="none"/>
        </w:rPr>
        <w:br w:type="textWrapping"/>
      </w:r>
      <w:r>
        <w:rPr>
          <w:rFonts w:ascii="宋体" w:hAnsi="宋体" w:eastAsia="宋体" w:cs="宋体"/>
          <w:b/>
          <w:bCs/>
          <w:color w:val="auto"/>
          <w:kern w:val="0"/>
          <w:szCs w:val="21"/>
          <w:highlight w:val="none"/>
        </w:rPr>
        <w:t>三-1-</w:t>
      </w:r>
      <w:r>
        <w:rPr>
          <w:rFonts w:hint="eastAsia" w:ascii="宋体" w:hAnsi="宋体" w:eastAsia="宋体" w:cs="宋体"/>
          <w:b/>
          <w:bCs/>
          <w:color w:val="auto"/>
          <w:kern w:val="0"/>
          <w:szCs w:val="21"/>
          <w:highlight w:val="none"/>
        </w:rPr>
        <w:t>②</w:t>
      </w:r>
      <w:r>
        <w:rPr>
          <w:rFonts w:ascii="宋体" w:hAnsi="宋体" w:eastAsia="宋体" w:cs="宋体"/>
          <w:b/>
          <w:bCs/>
          <w:color w:val="auto"/>
          <w:kern w:val="0"/>
          <w:szCs w:val="21"/>
          <w:highlight w:val="none"/>
        </w:rPr>
        <w:t>优先类节能产品、环境标志产品证明材料（价格扣除适用，若有）</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b/>
          <w:bCs/>
          <w:color w:val="auto"/>
          <w:kern w:val="0"/>
          <w:szCs w:val="21"/>
          <w:highlight w:val="none"/>
        </w:rPr>
        <w:br w:type="textWrapping"/>
      </w:r>
      <w:r>
        <w:rPr>
          <w:rFonts w:ascii="宋体" w:hAnsi="宋体" w:eastAsia="宋体" w:cs="宋体"/>
          <w:b/>
          <w:bCs/>
          <w:color w:val="auto"/>
          <w:kern w:val="0"/>
          <w:szCs w:val="21"/>
          <w:highlight w:val="none"/>
        </w:rPr>
        <w:t>三-2小型、微型企业产品等价格扣除证明材料（若有）</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 w:val="24"/>
          <w:szCs w:val="24"/>
          <w:highlight w:val="none"/>
        </w:rPr>
        <w:br w:type="textWrapping"/>
      </w:r>
      <w:r>
        <w:rPr>
          <w:rFonts w:ascii="宋体" w:hAnsi="宋体" w:eastAsia="宋体" w:cs="宋体"/>
          <w:b/>
          <w:bCs/>
          <w:color w:val="auto"/>
          <w:kern w:val="0"/>
          <w:sz w:val="24"/>
          <w:szCs w:val="24"/>
          <w:highlight w:val="none"/>
        </w:rPr>
        <w:t>三-2-①中小企业声明函（价格扣除适用，若有）</w:t>
      </w:r>
    </w:p>
    <w:p>
      <w:pPr>
        <w:widowControl/>
        <w:spacing w:before="100" w:beforeAutospacing="1" w:after="100" w:afterAutospacing="1"/>
        <w:jc w:val="left"/>
        <w:rPr>
          <w:rFonts w:ascii="宋体" w:hAnsi="宋体" w:eastAsia="宋体" w:cs="宋体"/>
          <w:color w:val="auto"/>
          <w:kern w:val="0"/>
          <w:sz w:val="24"/>
          <w:szCs w:val="24"/>
          <w:highlight w:val="none"/>
        </w:rPr>
      </w:pPr>
    </w:p>
    <w:p>
      <w:pPr>
        <w:widowControl/>
        <w:spacing w:before="150" w:after="150"/>
        <w:jc w:val="center"/>
        <w:outlineLvl w:val="5"/>
        <w:rPr>
          <w:rFonts w:ascii="宋体" w:hAnsi="宋体" w:eastAsia="宋体" w:cs="宋体"/>
          <w:b/>
          <w:bCs/>
          <w:color w:val="auto"/>
          <w:kern w:val="0"/>
          <w:sz w:val="15"/>
          <w:szCs w:val="15"/>
          <w:highlight w:val="none"/>
        </w:rPr>
      </w:pPr>
      <w:r>
        <w:rPr>
          <w:rFonts w:ascii="宋体" w:hAnsi="宋体" w:eastAsia="宋体" w:cs="宋体"/>
          <w:b/>
          <w:bCs/>
          <w:color w:val="auto"/>
          <w:kern w:val="0"/>
          <w:sz w:val="24"/>
          <w:szCs w:val="24"/>
          <w:highlight w:val="none"/>
        </w:rPr>
        <w:t>中小企业声明函（货物）</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1. </w:t>
      </w:r>
      <w:r>
        <w:rPr>
          <w:rFonts w:ascii="宋体" w:hAnsi="宋体" w:eastAsia="宋体" w:cs="宋体"/>
          <w:color w:val="auto"/>
          <w:kern w:val="0"/>
          <w:szCs w:val="21"/>
          <w:highlight w:val="none"/>
          <w:u w:val="single"/>
        </w:rPr>
        <w:t> （标的名称） </w:t>
      </w:r>
      <w:r>
        <w:rPr>
          <w:rFonts w:ascii="宋体" w:hAnsi="宋体" w:eastAsia="宋体" w:cs="宋体"/>
          <w:color w:val="auto"/>
          <w:kern w:val="0"/>
          <w:sz w:val="24"/>
          <w:szCs w:val="24"/>
          <w:highlight w:val="none"/>
        </w:rPr>
        <w:t>，属于</w:t>
      </w:r>
      <w:r>
        <w:rPr>
          <w:rFonts w:ascii="宋体" w:hAnsi="宋体" w:eastAsia="宋体" w:cs="宋体"/>
          <w:color w:val="auto"/>
          <w:kern w:val="0"/>
          <w:szCs w:val="21"/>
          <w:highlight w:val="none"/>
          <w:u w:val="single"/>
        </w:rPr>
        <w:t>（采购文件中明确的所属行业）</w:t>
      </w:r>
      <w:r>
        <w:rPr>
          <w:rFonts w:ascii="宋体" w:hAnsi="宋体" w:eastAsia="宋体" w:cs="宋体"/>
          <w:color w:val="auto"/>
          <w:kern w:val="0"/>
          <w:sz w:val="24"/>
          <w:szCs w:val="24"/>
          <w:highlight w:val="none"/>
        </w:rPr>
        <w:t>行业；制造商为（企业名称），从业人员</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人，营业收入为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万元，资产总额为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w:t>
      </w:r>
      <w:r>
        <w:rPr>
          <w:rFonts w:ascii="宋体" w:hAnsi="宋体" w:eastAsia="宋体" w:cs="宋体"/>
          <w:color w:val="auto"/>
          <w:kern w:val="0"/>
          <w:sz w:val="24"/>
          <w:szCs w:val="24"/>
          <w:highlight w:val="none"/>
          <w:vertAlign w:val="superscript"/>
        </w:rPr>
        <w:t>1</w:t>
      </w:r>
      <w:r>
        <w:rPr>
          <w:rFonts w:ascii="宋体" w:hAnsi="宋体" w:eastAsia="宋体" w:cs="宋体"/>
          <w:color w:val="auto"/>
          <w:kern w:val="0"/>
          <w:sz w:val="24"/>
          <w:szCs w:val="24"/>
          <w:highlight w:val="none"/>
        </w:rPr>
        <w:t>，属于</w:t>
      </w:r>
      <w:r>
        <w:rPr>
          <w:rFonts w:ascii="宋体" w:hAnsi="宋体" w:eastAsia="宋体" w:cs="宋体"/>
          <w:color w:val="auto"/>
          <w:kern w:val="0"/>
          <w:szCs w:val="21"/>
          <w:highlight w:val="none"/>
          <w:u w:val="single"/>
        </w:rPr>
        <w:t>（中型企业、小型企业、微型企业）</w:t>
      </w:r>
      <w:r>
        <w:rPr>
          <w:rFonts w:ascii="宋体" w:hAnsi="宋体" w:eastAsia="宋体" w:cs="宋体"/>
          <w:color w:val="auto"/>
          <w:kern w:val="0"/>
          <w:sz w:val="24"/>
          <w:szCs w:val="24"/>
          <w:highlight w:val="none"/>
        </w:rPr>
        <w:t>；</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2. </w:t>
      </w:r>
      <w:r>
        <w:rPr>
          <w:rFonts w:ascii="宋体" w:hAnsi="宋体" w:eastAsia="宋体" w:cs="宋体"/>
          <w:color w:val="auto"/>
          <w:kern w:val="0"/>
          <w:szCs w:val="21"/>
          <w:highlight w:val="none"/>
          <w:u w:val="single"/>
        </w:rPr>
        <w:t> （标的名称） </w:t>
      </w:r>
      <w:r>
        <w:rPr>
          <w:rFonts w:ascii="宋体" w:hAnsi="宋体" w:eastAsia="宋体" w:cs="宋体"/>
          <w:color w:val="auto"/>
          <w:kern w:val="0"/>
          <w:sz w:val="24"/>
          <w:szCs w:val="24"/>
          <w:highlight w:val="none"/>
        </w:rPr>
        <w:t>， 属于</w:t>
      </w:r>
      <w:r>
        <w:rPr>
          <w:rFonts w:ascii="宋体" w:hAnsi="宋体" w:eastAsia="宋体" w:cs="宋体"/>
          <w:color w:val="auto"/>
          <w:kern w:val="0"/>
          <w:szCs w:val="21"/>
          <w:highlight w:val="none"/>
          <w:u w:val="single"/>
        </w:rPr>
        <w:t> （采购文件中明确的所属行业 ）</w:t>
      </w:r>
      <w:r>
        <w:rPr>
          <w:rFonts w:ascii="宋体" w:hAnsi="宋体" w:eastAsia="宋体" w:cs="宋体"/>
          <w:color w:val="auto"/>
          <w:kern w:val="0"/>
          <w:sz w:val="24"/>
          <w:szCs w:val="24"/>
          <w:highlight w:val="none"/>
        </w:rPr>
        <w:t>行业；制造商为</w:t>
      </w:r>
      <w:r>
        <w:rPr>
          <w:rFonts w:ascii="宋体" w:hAnsi="宋体" w:eastAsia="宋体" w:cs="宋体"/>
          <w:color w:val="auto"/>
          <w:kern w:val="0"/>
          <w:szCs w:val="21"/>
          <w:highlight w:val="none"/>
          <w:u w:val="single"/>
        </w:rPr>
        <w:t>（企业名称）</w:t>
      </w:r>
      <w:r>
        <w:rPr>
          <w:rFonts w:ascii="宋体" w:hAnsi="宋体" w:eastAsia="宋体" w:cs="宋体"/>
          <w:color w:val="auto"/>
          <w:kern w:val="0"/>
          <w:sz w:val="24"/>
          <w:szCs w:val="24"/>
          <w:highlight w:val="none"/>
        </w:rPr>
        <w:t>，从业人员</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人，营业收入为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万元，资产总额为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万元，属于</w:t>
      </w:r>
      <w:r>
        <w:rPr>
          <w:rFonts w:ascii="宋体" w:hAnsi="宋体" w:eastAsia="宋体" w:cs="宋体"/>
          <w:color w:val="auto"/>
          <w:kern w:val="0"/>
          <w:szCs w:val="21"/>
          <w:highlight w:val="none"/>
          <w:u w:val="single"/>
        </w:rPr>
        <w:t>（中型企业、小型企业、微型企业）</w:t>
      </w:r>
      <w:r>
        <w:rPr>
          <w:rFonts w:ascii="宋体" w:hAnsi="宋体" w:eastAsia="宋体" w:cs="宋体"/>
          <w:color w:val="auto"/>
          <w:kern w:val="0"/>
          <w:sz w:val="24"/>
          <w:szCs w:val="24"/>
          <w:highlight w:val="none"/>
        </w:rPr>
        <w:t>；</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以上企业，不属于大企业的分支机构，不存在控股股东为大企业的情形，也不存在与大企业的负责人为同一人的情形。</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本企业对上述声明内容的真实性负责。如有虚假，将依法承担相应责任。</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企业名称（盖章）：                                     </w:t>
      </w:r>
      <w:r>
        <w:rPr>
          <w:rFonts w:ascii="宋体" w:hAnsi="宋体" w:eastAsia="宋体" w:cs="宋体"/>
          <w:color w:val="auto"/>
          <w:kern w:val="0"/>
          <w:szCs w:val="21"/>
          <w:highlight w:val="none"/>
        </w:rPr>
        <w:t>日期：</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1、从业人员、营业收入、资产总额填报上一年度数据，无上一年度数据的新成立企业可不填报。</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ageBreakBefore/>
        <w:widowControl/>
        <w:spacing w:before="150" w:after="150"/>
        <w:jc w:val="center"/>
        <w:outlineLvl w:val="5"/>
        <w:rPr>
          <w:rFonts w:ascii="宋体" w:hAnsi="宋体" w:eastAsia="宋体" w:cs="宋体"/>
          <w:b/>
          <w:bCs/>
          <w:color w:val="auto"/>
          <w:kern w:val="0"/>
          <w:sz w:val="15"/>
          <w:szCs w:val="15"/>
          <w:highlight w:val="none"/>
        </w:rPr>
      </w:pPr>
      <w:r>
        <w:rPr>
          <w:rFonts w:ascii="宋体" w:hAnsi="宋体" w:eastAsia="宋体" w:cs="宋体"/>
          <w:b/>
          <w:bCs/>
          <w:color w:val="auto"/>
          <w:kern w:val="0"/>
          <w:sz w:val="24"/>
          <w:szCs w:val="24"/>
          <w:highlight w:val="none"/>
        </w:rPr>
        <w:t>中小企业声明函（工程、服务</w:t>
      </w:r>
      <w:r>
        <w:rPr>
          <w:rFonts w:ascii="宋体" w:hAnsi="宋体" w:eastAsia="宋体" w:cs="宋体"/>
          <w:b/>
          <w:bCs/>
          <w:color w:val="auto"/>
          <w:kern w:val="0"/>
          <w:szCs w:val="21"/>
          <w:highlight w:val="none"/>
        </w:rPr>
        <w:t>）</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本公司（联合体）郑重声明，根据《政府采购促进中小企业发展管理办法》（财库﹝2020﹞46 号）的规定，本公司（联合体）参加</w:t>
      </w:r>
      <w:r>
        <w:rPr>
          <w:rFonts w:ascii="宋体" w:hAnsi="宋体" w:eastAsia="宋体" w:cs="宋体"/>
          <w:color w:val="auto"/>
          <w:kern w:val="0"/>
          <w:szCs w:val="21"/>
          <w:highlight w:val="none"/>
          <w:u w:val="single"/>
        </w:rPr>
        <w:t>（单位名称）</w:t>
      </w:r>
      <w:r>
        <w:rPr>
          <w:rFonts w:ascii="宋体" w:hAnsi="宋体" w:eastAsia="宋体" w:cs="宋体"/>
          <w:color w:val="auto"/>
          <w:kern w:val="0"/>
          <w:sz w:val="24"/>
          <w:szCs w:val="24"/>
          <w:highlight w:val="none"/>
        </w:rPr>
        <w:t>的</w:t>
      </w:r>
      <w:r>
        <w:rPr>
          <w:rFonts w:ascii="宋体" w:hAnsi="宋体" w:eastAsia="宋体" w:cs="宋体"/>
          <w:color w:val="auto"/>
          <w:kern w:val="0"/>
          <w:szCs w:val="21"/>
          <w:highlight w:val="none"/>
          <w:u w:val="single"/>
        </w:rPr>
        <w:t>（项目名称）</w:t>
      </w:r>
      <w:r>
        <w:rPr>
          <w:rFonts w:ascii="宋体" w:hAnsi="宋体" w:eastAsia="宋体" w:cs="宋体"/>
          <w:color w:val="auto"/>
          <w:kern w:val="0"/>
          <w:sz w:val="24"/>
          <w:szCs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1.</w:t>
      </w:r>
      <w:r>
        <w:rPr>
          <w:rFonts w:ascii="宋体" w:hAnsi="宋体" w:eastAsia="宋体" w:cs="宋体"/>
          <w:color w:val="auto"/>
          <w:kern w:val="0"/>
          <w:szCs w:val="21"/>
          <w:highlight w:val="none"/>
          <w:u w:val="single"/>
        </w:rPr>
        <w:t> （标的名称）</w:t>
      </w:r>
      <w:r>
        <w:rPr>
          <w:rFonts w:ascii="宋体" w:hAnsi="宋体" w:eastAsia="宋体" w:cs="宋体"/>
          <w:color w:val="auto"/>
          <w:kern w:val="0"/>
          <w:sz w:val="24"/>
          <w:szCs w:val="24"/>
          <w:highlight w:val="none"/>
        </w:rPr>
        <w:t>，属于</w:t>
      </w:r>
      <w:r>
        <w:rPr>
          <w:rFonts w:ascii="宋体" w:hAnsi="宋体" w:eastAsia="宋体" w:cs="宋体"/>
          <w:color w:val="auto"/>
          <w:kern w:val="0"/>
          <w:szCs w:val="21"/>
          <w:highlight w:val="none"/>
          <w:u w:val="single"/>
        </w:rPr>
        <w:t>（采购文件中明确的所属行业）</w:t>
      </w:r>
      <w:r>
        <w:rPr>
          <w:rFonts w:ascii="宋体" w:hAnsi="宋体" w:eastAsia="宋体" w:cs="宋体"/>
          <w:color w:val="auto"/>
          <w:kern w:val="0"/>
          <w:sz w:val="24"/>
          <w:szCs w:val="24"/>
          <w:highlight w:val="none"/>
        </w:rPr>
        <w:t>；承建（承接）企业为</w:t>
      </w:r>
      <w:r>
        <w:rPr>
          <w:rFonts w:ascii="宋体" w:hAnsi="宋体" w:eastAsia="宋体" w:cs="宋体"/>
          <w:color w:val="auto"/>
          <w:kern w:val="0"/>
          <w:szCs w:val="21"/>
          <w:highlight w:val="none"/>
          <w:u w:val="single"/>
        </w:rPr>
        <w:t>（企业名称）</w:t>
      </w:r>
      <w:r>
        <w:rPr>
          <w:rFonts w:ascii="宋体" w:hAnsi="宋体" w:eastAsia="宋体" w:cs="宋体"/>
          <w:color w:val="auto"/>
          <w:kern w:val="0"/>
          <w:sz w:val="24"/>
          <w:szCs w:val="24"/>
          <w:highlight w:val="none"/>
        </w:rPr>
        <w:t>，从业人员</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人，营业收入为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万元，资产总额为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w:t>
      </w:r>
      <w:r>
        <w:rPr>
          <w:rFonts w:ascii="宋体" w:hAnsi="宋体" w:eastAsia="宋体" w:cs="宋体"/>
          <w:color w:val="auto"/>
          <w:kern w:val="0"/>
          <w:sz w:val="24"/>
          <w:szCs w:val="24"/>
          <w:highlight w:val="none"/>
          <w:vertAlign w:val="superscript"/>
        </w:rPr>
        <w:t>1</w:t>
      </w:r>
      <w:r>
        <w:rPr>
          <w:rFonts w:ascii="宋体" w:hAnsi="宋体" w:eastAsia="宋体" w:cs="宋体"/>
          <w:color w:val="auto"/>
          <w:kern w:val="0"/>
          <w:sz w:val="24"/>
          <w:szCs w:val="24"/>
          <w:highlight w:val="none"/>
        </w:rPr>
        <w:t>，属于</w:t>
      </w:r>
      <w:r>
        <w:rPr>
          <w:rFonts w:ascii="宋体" w:hAnsi="宋体" w:eastAsia="宋体" w:cs="宋体"/>
          <w:color w:val="auto"/>
          <w:kern w:val="0"/>
          <w:szCs w:val="21"/>
          <w:highlight w:val="none"/>
          <w:u w:val="single"/>
        </w:rPr>
        <w:t>（中型企业、小型企业、微型企业）</w:t>
      </w:r>
      <w:r>
        <w:rPr>
          <w:rFonts w:ascii="宋体" w:hAnsi="宋体" w:eastAsia="宋体" w:cs="宋体"/>
          <w:color w:val="auto"/>
          <w:kern w:val="0"/>
          <w:sz w:val="24"/>
          <w:szCs w:val="24"/>
          <w:highlight w:val="none"/>
        </w:rPr>
        <w:t>；</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2.</w:t>
      </w:r>
      <w:r>
        <w:rPr>
          <w:rFonts w:ascii="宋体" w:hAnsi="宋体" w:eastAsia="宋体" w:cs="宋体"/>
          <w:color w:val="auto"/>
          <w:kern w:val="0"/>
          <w:szCs w:val="21"/>
          <w:highlight w:val="none"/>
          <w:u w:val="single"/>
        </w:rPr>
        <w:t> （标的名称）</w:t>
      </w:r>
      <w:r>
        <w:rPr>
          <w:rFonts w:ascii="宋体" w:hAnsi="宋体" w:eastAsia="宋体" w:cs="宋体"/>
          <w:color w:val="auto"/>
          <w:kern w:val="0"/>
          <w:sz w:val="24"/>
          <w:szCs w:val="24"/>
          <w:highlight w:val="none"/>
        </w:rPr>
        <w:t>，属于</w:t>
      </w:r>
      <w:r>
        <w:rPr>
          <w:rFonts w:ascii="宋体" w:hAnsi="宋体" w:eastAsia="宋体" w:cs="宋体"/>
          <w:color w:val="auto"/>
          <w:kern w:val="0"/>
          <w:szCs w:val="21"/>
          <w:highlight w:val="none"/>
          <w:u w:val="single"/>
        </w:rPr>
        <w:t>（采购文件中明确的所属行业）</w:t>
      </w:r>
      <w:r>
        <w:rPr>
          <w:rFonts w:ascii="宋体" w:hAnsi="宋体" w:eastAsia="宋体" w:cs="宋体"/>
          <w:color w:val="auto"/>
          <w:kern w:val="0"/>
          <w:sz w:val="24"/>
          <w:szCs w:val="24"/>
          <w:highlight w:val="none"/>
        </w:rPr>
        <w:t>；承建（承接）企业为</w:t>
      </w:r>
      <w:r>
        <w:rPr>
          <w:rFonts w:ascii="宋体" w:hAnsi="宋体" w:eastAsia="宋体" w:cs="宋体"/>
          <w:color w:val="auto"/>
          <w:kern w:val="0"/>
          <w:szCs w:val="21"/>
          <w:highlight w:val="none"/>
          <w:u w:val="single"/>
        </w:rPr>
        <w:t>（企业名称）</w:t>
      </w:r>
      <w:r>
        <w:rPr>
          <w:rFonts w:ascii="宋体" w:hAnsi="宋体" w:eastAsia="宋体" w:cs="宋体"/>
          <w:color w:val="auto"/>
          <w:kern w:val="0"/>
          <w:sz w:val="24"/>
          <w:szCs w:val="24"/>
          <w:highlight w:val="none"/>
        </w:rPr>
        <w:t>，从业人员</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人，营业收入为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万元，资产总额为</w:t>
      </w:r>
      <w:r>
        <w:rPr>
          <w:rFonts w:ascii="宋体" w:hAnsi="宋体" w:eastAsia="宋体" w:cs="宋体"/>
          <w:color w:val="auto"/>
          <w:kern w:val="0"/>
          <w:szCs w:val="21"/>
          <w:highlight w:val="none"/>
          <w:u w:val="single"/>
        </w:rPr>
        <w:t>  </w:t>
      </w:r>
      <w:r>
        <w:rPr>
          <w:rFonts w:ascii="宋体" w:hAnsi="宋体" w:eastAsia="宋体" w:cs="宋体"/>
          <w:color w:val="auto"/>
          <w:kern w:val="0"/>
          <w:sz w:val="24"/>
          <w:szCs w:val="24"/>
          <w:highlight w:val="none"/>
        </w:rPr>
        <w:t>万元，属于</w:t>
      </w:r>
      <w:r>
        <w:rPr>
          <w:rFonts w:ascii="宋体" w:hAnsi="宋体" w:eastAsia="宋体" w:cs="宋体"/>
          <w:color w:val="auto"/>
          <w:kern w:val="0"/>
          <w:szCs w:val="21"/>
          <w:highlight w:val="none"/>
          <w:u w:val="single"/>
        </w:rPr>
        <w:t>（中型企业、小型企业、微型企业）</w:t>
      </w:r>
      <w:r>
        <w:rPr>
          <w:rFonts w:ascii="宋体" w:hAnsi="宋体" w:eastAsia="宋体" w:cs="宋体"/>
          <w:color w:val="auto"/>
          <w:kern w:val="0"/>
          <w:sz w:val="24"/>
          <w:szCs w:val="24"/>
          <w:highlight w:val="none"/>
        </w:rPr>
        <w:t>；</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以上企业，不属于大企业的分支机构，不存在控股股东为大企业的情形，也不存在与大企业的负责人为同一人的情形。</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本企业对上述声明内容的真实性负责。如有虚假，将依法承担相应责任。</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企业名称（盖章）：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日期：</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1、从业人员、营业收入、资产总额填报上一年度数据，无上一年度数据的新成立企业可不填报。</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100" w:beforeAutospacing="1" w:after="240"/>
        <w:jc w:val="left"/>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br w:type="textWrapping"/>
      </w:r>
      <w:r>
        <w:rPr>
          <w:rFonts w:ascii="Calibri" w:hAnsi="Calibri" w:eastAsia="宋体" w:cs="宋体"/>
          <w:color w:val="auto"/>
          <w:kern w:val="0"/>
          <w:szCs w:val="21"/>
          <w:highlight w:val="none"/>
        </w:rPr>
        <w:br w:type="textWrapping"/>
      </w:r>
      <w:r>
        <w:rPr>
          <w:rFonts w:ascii="Calibri" w:hAnsi="Calibri" w:eastAsia="宋体" w:cs="宋体"/>
          <w:color w:val="auto"/>
          <w:kern w:val="0"/>
          <w:szCs w:val="21"/>
          <w:highlight w:val="none"/>
        </w:rPr>
        <w:br w:type="textWrapping"/>
      </w:r>
    </w:p>
    <w:p>
      <w:pPr>
        <w:widowControl/>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br w:type="page"/>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三-2-</w:t>
      </w:r>
      <w:r>
        <w:rPr>
          <w:rFonts w:ascii="宋体" w:hAnsi="宋体" w:eastAsia="宋体" w:cs="宋体"/>
          <w:b/>
          <w:bCs/>
          <w:color w:val="auto"/>
          <w:kern w:val="0"/>
          <w:sz w:val="24"/>
          <w:szCs w:val="24"/>
          <w:highlight w:val="none"/>
        </w:rPr>
        <w:t>②</w:t>
      </w:r>
      <w:r>
        <w:rPr>
          <w:rFonts w:ascii="宋体" w:hAnsi="宋体" w:eastAsia="宋体" w:cs="宋体"/>
          <w:b/>
          <w:bCs/>
          <w:color w:val="auto"/>
          <w:kern w:val="0"/>
          <w:szCs w:val="21"/>
          <w:highlight w:val="none"/>
        </w:rPr>
        <w:t>小型、微型企业等证明材料（价格扣除适用，若有）</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编制说明</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1、投标人应按照招标文件要求提供相应证明材料，证明材料应与《中小企业声明函》的内容相一致，否则视为《中小企业声明函》内容不真实。</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2、投标人为监狱企业的，根据其提供的由省级以上监狱管理局、戒毒管理局（含新疆生产建设兵团）出具的属于监狱企业的证明文件进行认定，监狱企业视同小型、微型企业。</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3、投标人为残疾人福利性单位的，根据其提供的《残疾人福利性单位声明函》（格式附后）进行认定，残疾人福利性单位视同小型、微型企业。残疾人福利性单位属于小型、微型企业的，不重复享受政策。</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br w:type="textWrapping"/>
      </w:r>
      <w:r>
        <w:rPr>
          <w:rFonts w:ascii="宋体" w:hAnsi="宋体" w:eastAsia="宋体" w:cs="宋体"/>
          <w:color w:val="auto"/>
          <w:kern w:val="0"/>
          <w:szCs w:val="21"/>
          <w:highlight w:val="none"/>
        </w:rPr>
        <w:t>附：</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残疾人福利性单位声明函（价格扣除适用，若有）</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ascii="宋体" w:hAnsi="宋体" w:eastAsia="宋体" w:cs="宋体"/>
          <w:color w:val="auto"/>
          <w:kern w:val="0"/>
          <w:szCs w:val="21"/>
          <w:highlight w:val="none"/>
          <w:u w:val="single"/>
        </w:rPr>
        <w:t>（填写“项目名称”）</w:t>
      </w:r>
      <w:r>
        <w:rPr>
          <w:rFonts w:ascii="宋体" w:hAnsi="宋体" w:eastAsia="宋体" w:cs="宋体"/>
          <w:color w:val="auto"/>
          <w:kern w:val="0"/>
          <w:szCs w:val="21"/>
          <w:highlight w:val="none"/>
        </w:rPr>
        <w:t>项目采购活动：</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）提供本投标人制造的</w:t>
      </w:r>
      <w:r>
        <w:rPr>
          <w:rFonts w:ascii="宋体" w:hAnsi="宋体" w:eastAsia="宋体" w:cs="宋体"/>
          <w:color w:val="auto"/>
          <w:kern w:val="0"/>
          <w:szCs w:val="21"/>
          <w:highlight w:val="none"/>
          <w:u w:val="single"/>
        </w:rPr>
        <w:t>（填写“所投采购包、品目号”）</w:t>
      </w:r>
      <w:r>
        <w:rPr>
          <w:rFonts w:ascii="宋体" w:hAnsi="宋体" w:eastAsia="宋体" w:cs="宋体"/>
          <w:color w:val="auto"/>
          <w:kern w:val="0"/>
          <w:szCs w:val="21"/>
          <w:highlight w:val="none"/>
        </w:rPr>
        <w:t>货物，或提供其他残疾人福利性单位制造的</w:t>
      </w:r>
      <w:r>
        <w:rPr>
          <w:rFonts w:ascii="宋体" w:hAnsi="宋体" w:eastAsia="宋体" w:cs="宋体"/>
          <w:color w:val="auto"/>
          <w:kern w:val="0"/>
          <w:szCs w:val="21"/>
          <w:highlight w:val="none"/>
          <w:u w:val="single"/>
        </w:rPr>
        <w:t>（填写“所投采购包、品目号”）</w:t>
      </w:r>
      <w:r>
        <w:rPr>
          <w:rFonts w:ascii="宋体" w:hAnsi="宋体" w:eastAsia="宋体" w:cs="宋体"/>
          <w:color w:val="auto"/>
          <w:kern w:val="0"/>
          <w:szCs w:val="21"/>
          <w:highlight w:val="none"/>
        </w:rPr>
        <w:t>货物（不包括使用非残疾人福利性单位注册商标的货物）。（说明：只有部分货物由残疾人福利企业制造的，在该货物后标</w:t>
      </w:r>
      <w:r>
        <w:rPr>
          <w:rFonts w:ascii="宋体" w:hAnsi="宋体" w:eastAsia="宋体" w:cs="宋体"/>
          <w:color w:val="auto"/>
          <w:kern w:val="0"/>
          <w:sz w:val="24"/>
          <w:szCs w:val="24"/>
          <w:highlight w:val="none"/>
        </w:rPr>
        <w:t>★</w:t>
      </w:r>
      <w:r>
        <w:rPr>
          <w:rFonts w:ascii="宋体" w:hAnsi="宋体" w:eastAsia="宋体" w:cs="宋体"/>
          <w:color w:val="auto"/>
          <w:kern w:val="0"/>
          <w:szCs w:val="21"/>
          <w:highlight w:val="none"/>
        </w:rPr>
        <w:t>）</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）由本投标人承建的</w:t>
      </w:r>
      <w:r>
        <w:rPr>
          <w:rFonts w:ascii="宋体" w:hAnsi="宋体" w:eastAsia="宋体" w:cs="宋体"/>
          <w:color w:val="auto"/>
          <w:kern w:val="0"/>
          <w:szCs w:val="21"/>
          <w:highlight w:val="none"/>
          <w:u w:val="single"/>
        </w:rPr>
        <w:t>（填写“所投采购包、品目号”）</w:t>
      </w:r>
      <w:r>
        <w:rPr>
          <w:rFonts w:ascii="宋体" w:hAnsi="宋体" w:eastAsia="宋体" w:cs="宋体"/>
          <w:color w:val="auto"/>
          <w:kern w:val="0"/>
          <w:szCs w:val="21"/>
          <w:highlight w:val="none"/>
        </w:rPr>
        <w:t>工程</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）由本投标人承接的</w:t>
      </w:r>
      <w:r>
        <w:rPr>
          <w:rFonts w:ascii="宋体" w:hAnsi="宋体" w:eastAsia="宋体" w:cs="宋体"/>
          <w:color w:val="auto"/>
          <w:kern w:val="0"/>
          <w:szCs w:val="21"/>
          <w:highlight w:val="none"/>
          <w:u w:val="single"/>
        </w:rPr>
        <w:t>（填写“所投采购包、品目号”）</w:t>
      </w:r>
      <w:r>
        <w:rPr>
          <w:rFonts w:ascii="宋体" w:hAnsi="宋体" w:eastAsia="宋体" w:cs="宋体"/>
          <w:color w:val="auto"/>
          <w:kern w:val="0"/>
          <w:szCs w:val="21"/>
          <w:highlight w:val="none"/>
        </w:rPr>
        <w:t>服务；</w:t>
      </w:r>
    </w:p>
    <w:p>
      <w:pPr>
        <w:widowControl/>
        <w:spacing w:before="75" w:after="75"/>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本投标人对上述声明的真实性负责。如有虚假，将依法承担相应责任。</w:t>
      </w:r>
    </w:p>
    <w:p>
      <w:pPr>
        <w:widowControl/>
        <w:spacing w:before="75" w:after="75"/>
        <w:ind w:firstLine="420"/>
        <w:jc w:val="left"/>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t>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备注：</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1、请投标人按照实际情况编制填写本声明函，并在相应的（）中打“√”。</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2、若《残疾人福利性单位声明函》内容不真实，</w:t>
      </w:r>
      <w:r>
        <w:rPr>
          <w:rFonts w:ascii="宋体" w:hAnsi="宋体" w:eastAsia="宋体" w:cs="宋体"/>
          <w:b/>
          <w:bCs/>
          <w:color w:val="auto"/>
          <w:kern w:val="0"/>
          <w:szCs w:val="21"/>
          <w:highlight w:val="none"/>
        </w:rPr>
        <w:t>视为提供虚假材料。</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75" w:after="75"/>
        <w:jc w:val="left"/>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t> </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投标人：</w:t>
      </w:r>
      <w:r>
        <w:rPr>
          <w:rFonts w:ascii="宋体" w:hAnsi="宋体" w:eastAsia="宋体" w:cs="宋体"/>
          <w:color w:val="auto"/>
          <w:kern w:val="0"/>
          <w:szCs w:val="21"/>
          <w:highlight w:val="none"/>
          <w:u w:val="single"/>
        </w:rPr>
        <w:t>（全称并加盖单位公章）</w:t>
      </w:r>
    </w:p>
    <w:p>
      <w:pPr>
        <w:widowControl/>
        <w:spacing w:before="75" w:after="24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日期：</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年</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月</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日</w:t>
      </w:r>
    </w:p>
    <w:p>
      <w:pPr>
        <w:widowControl/>
        <w:ind w:firstLine="42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附：</w:t>
      </w:r>
    </w:p>
    <w:p>
      <w:pPr>
        <w:widowControl/>
        <w:spacing w:before="75" w:after="75"/>
        <w:jc w:val="center"/>
        <w:rPr>
          <w:rFonts w:ascii="宋体" w:hAnsi="宋体" w:eastAsia="宋体" w:cs="宋体"/>
          <w:color w:val="auto"/>
          <w:kern w:val="0"/>
          <w:sz w:val="24"/>
          <w:szCs w:val="24"/>
          <w:highlight w:val="none"/>
        </w:rPr>
      </w:pPr>
      <w:r>
        <w:rPr>
          <w:rFonts w:ascii="宋体" w:hAnsi="宋体" w:eastAsia="宋体" w:cs="宋体"/>
          <w:b/>
          <w:bCs/>
          <w:color w:val="auto"/>
          <w:kern w:val="0"/>
          <w:sz w:val="24"/>
          <w:szCs w:val="24"/>
          <w:highlight w:val="none"/>
        </w:rPr>
        <w:t>监狱企业证明材料</w:t>
      </w:r>
    </w:p>
    <w:p>
      <w:pPr>
        <w:widowControl/>
        <w:spacing w:before="75" w:after="75"/>
        <w:jc w:val="center"/>
        <w:rPr>
          <w:rFonts w:ascii="宋体" w:hAnsi="宋体" w:eastAsia="宋体" w:cs="宋体"/>
          <w:color w:val="auto"/>
          <w:kern w:val="0"/>
          <w:sz w:val="24"/>
          <w:szCs w:val="24"/>
          <w:highlight w:val="none"/>
        </w:rPr>
      </w:pPr>
      <w:r>
        <w:rPr>
          <w:rFonts w:ascii="宋体" w:hAnsi="宋体" w:eastAsia="宋体" w:cs="宋体"/>
          <w:b/>
          <w:bCs/>
          <w:color w:val="auto"/>
          <w:kern w:val="0"/>
          <w:sz w:val="24"/>
          <w:szCs w:val="24"/>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投标人为监狱企业，提供本单位制造的货物（承接的服务），并在投标文件中提供省级以上监狱管理局、戒毒管理局（含新疆生产建设兵团）出具的属于监狱企业的证明文件。</w:t>
      </w:r>
    </w:p>
    <w:p>
      <w:pPr>
        <w:widowControl/>
        <w:spacing w:before="75" w:after="24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br w:type="textWrapping"/>
      </w:r>
      <w:r>
        <w:rPr>
          <w:rFonts w:ascii="宋体" w:hAnsi="宋体" w:eastAsia="宋体" w:cs="宋体"/>
          <w:color w:val="auto"/>
          <w:kern w:val="0"/>
          <w:szCs w:val="21"/>
          <w:highlight w:val="none"/>
        </w:rPr>
        <w:br w:type="textWrapping"/>
      </w:r>
      <w:r>
        <w:rPr>
          <w:rFonts w:ascii="宋体" w:hAnsi="宋体" w:eastAsia="宋体" w:cs="宋体"/>
          <w:color w:val="auto"/>
          <w:kern w:val="0"/>
          <w:szCs w:val="21"/>
          <w:highlight w:val="none"/>
        </w:rPr>
        <w:br w:type="textWrapping"/>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br w:type="textWrapping"/>
      </w:r>
      <w:r>
        <w:rPr>
          <w:rFonts w:ascii="宋体" w:hAnsi="宋体" w:eastAsia="宋体" w:cs="宋体"/>
          <w:b/>
          <w:bCs/>
          <w:color w:val="auto"/>
          <w:kern w:val="0"/>
          <w:szCs w:val="21"/>
          <w:highlight w:val="none"/>
        </w:rPr>
        <w:t>三-3招标文件规定的其他价格扣除证明材料（若有）</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编制说明</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若投标人可享受招标文件规定的除</w:t>
      </w:r>
      <w:r>
        <w:rPr>
          <w:rFonts w:ascii="宋体" w:hAnsi="宋体" w:eastAsia="宋体" w:cs="宋体"/>
          <w:b/>
          <w:bCs/>
          <w:color w:val="auto"/>
          <w:kern w:val="0"/>
          <w:szCs w:val="21"/>
          <w:highlight w:val="none"/>
        </w:rPr>
        <w:t>“节能（非强制类）、环境标志产品价格扣除”及“小型、微型企业产品等价格扣除”</w:t>
      </w:r>
      <w:r>
        <w:rPr>
          <w:rFonts w:ascii="宋体" w:hAnsi="宋体" w:eastAsia="宋体" w:cs="宋体"/>
          <w:color w:val="auto"/>
          <w:kern w:val="0"/>
          <w:szCs w:val="21"/>
          <w:highlight w:val="none"/>
        </w:rPr>
        <w:t>外的其他价格扣除优惠，则投标人应按照招标文件要求提供相应证明材料。</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24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r>
        <w:rPr>
          <w:rFonts w:ascii="宋体" w:hAnsi="宋体" w:eastAsia="宋体" w:cs="宋体"/>
          <w:color w:val="auto"/>
          <w:kern w:val="0"/>
          <w:szCs w:val="21"/>
          <w:highlight w:val="none"/>
        </w:rPr>
        <w:br w:type="textWrapping"/>
      </w:r>
      <w:r>
        <w:rPr>
          <w:rFonts w:ascii="宋体" w:hAnsi="宋体" w:eastAsia="宋体" w:cs="宋体"/>
          <w:color w:val="auto"/>
          <w:kern w:val="0"/>
          <w:szCs w:val="21"/>
          <w:highlight w:val="none"/>
        </w:rPr>
        <w:br w:type="textWrapping"/>
      </w:r>
      <w:r>
        <w:rPr>
          <w:rFonts w:ascii="宋体" w:hAnsi="宋体" w:eastAsia="宋体" w:cs="宋体"/>
          <w:color w:val="auto"/>
          <w:kern w:val="0"/>
          <w:szCs w:val="21"/>
          <w:highlight w:val="none"/>
        </w:rPr>
        <w:br w:type="textWrapping"/>
      </w:r>
      <w:r>
        <w:rPr>
          <w:rFonts w:ascii="宋体" w:hAnsi="宋体" w:eastAsia="宋体" w:cs="宋体"/>
          <w:color w:val="auto"/>
          <w:kern w:val="0"/>
          <w:szCs w:val="21"/>
          <w:highlight w:val="none"/>
        </w:rPr>
        <w:br w:type="textWrapping"/>
      </w:r>
    </w:p>
    <w:p>
      <w:pPr>
        <w:widowControl/>
        <w:jc w:val="left"/>
        <w:rPr>
          <w:rFonts w:ascii="Calibri" w:hAnsi="Calibri" w:eastAsia="宋体" w:cs="宋体"/>
          <w:color w:val="auto"/>
          <w:kern w:val="0"/>
          <w:szCs w:val="21"/>
          <w:highlight w:val="none"/>
        </w:rPr>
      </w:pPr>
      <w:r>
        <w:rPr>
          <w:rFonts w:ascii="Calibri" w:hAnsi="Calibri" w:eastAsia="宋体" w:cs="宋体"/>
          <w:color w:val="auto"/>
          <w:kern w:val="0"/>
          <w:szCs w:val="21"/>
          <w:highlight w:val="none"/>
        </w:rPr>
        <w:br w:type="page"/>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br w:type="textWrapping"/>
      </w:r>
      <w:r>
        <w:rPr>
          <w:rFonts w:ascii="宋体" w:hAnsi="宋体" w:eastAsia="宋体" w:cs="宋体"/>
          <w:b/>
          <w:bCs/>
          <w:color w:val="auto"/>
          <w:kern w:val="0"/>
          <w:szCs w:val="21"/>
          <w:highlight w:val="none"/>
        </w:rPr>
        <w:t>四、招标文件规定的加分证明材料（若有）</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四-1优先类节能产品、环境标志产品加分证明材料（若有）</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四-1-</w:t>
      </w:r>
      <w:r>
        <w:rPr>
          <w:rFonts w:hint="eastAsia" w:ascii="宋体" w:hAnsi="宋体" w:eastAsia="宋体" w:cs="宋体"/>
          <w:b/>
          <w:bCs/>
          <w:color w:val="auto"/>
          <w:kern w:val="0"/>
          <w:szCs w:val="21"/>
          <w:highlight w:val="none"/>
        </w:rPr>
        <w:t>①</w:t>
      </w:r>
      <w:r>
        <w:rPr>
          <w:rFonts w:ascii="宋体" w:hAnsi="宋体" w:eastAsia="宋体" w:cs="宋体"/>
          <w:b/>
          <w:bCs/>
          <w:color w:val="auto"/>
          <w:kern w:val="0"/>
          <w:szCs w:val="21"/>
          <w:highlight w:val="none"/>
        </w:rPr>
        <w:t>优先类节能产品、环境标志产品统计表（加分适用，若有）</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项目编号：</w:t>
      </w:r>
      <w:r>
        <w:rPr>
          <w:rFonts w:ascii="宋体" w:hAnsi="宋体" w:eastAsia="宋体" w:cs="宋体"/>
          <w:color w:val="auto"/>
          <w:kern w:val="0"/>
          <w:szCs w:val="21"/>
          <w:highlight w:val="none"/>
          <w:u w:val="single"/>
        </w:rPr>
        <w:t>                   </w:t>
      </w:r>
    </w:p>
    <w:p>
      <w:pPr>
        <w:widowControl/>
        <w:spacing w:before="100" w:beforeAutospacing="1" w:after="100" w:afterAutospacing="1"/>
        <w:jc w:val="righ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货币及单位：人民币元</w:t>
      </w:r>
    </w:p>
    <w:tbl>
      <w:tblPr>
        <w:tblStyle w:val="21"/>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1219"/>
        <w:gridCol w:w="1215"/>
        <w:gridCol w:w="1209"/>
        <w:gridCol w:w="1221"/>
        <w:gridCol w:w="1209"/>
        <w:gridCol w:w="1222"/>
        <w:gridCol w:w="122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15" w:type="dxa"/>
        </w:trPr>
        <w:tc>
          <w:tcPr>
            <w:tcW w:w="1215"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7305" w:type="dxa"/>
            <w:gridSpan w:val="6"/>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本采购包内属于节能、环境标志产品的情况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1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采购包</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品目号</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货物名称</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单价</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（现场）</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数量</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总价</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（现场）</w:t>
            </w:r>
          </w:p>
        </w:tc>
        <w:tc>
          <w:tcPr>
            <w:tcW w:w="121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认证种类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15"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vMerge w:val="continue"/>
            <w:tcBorders>
              <w:top w:val="nil"/>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t>…</w:t>
            </w: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21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1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备注</w:t>
            </w:r>
          </w:p>
        </w:tc>
        <w:tc>
          <w:tcPr>
            <w:tcW w:w="7305" w:type="dxa"/>
            <w:gridSpan w:val="6"/>
            <w:tcBorders>
              <w:top w:val="nil"/>
              <w:left w:val="nil"/>
              <w:bottom w:val="outset" w:color="auto" w:sz="6" w:space="0"/>
              <w:right w:val="outset" w:color="auto" w:sz="6" w:space="0"/>
            </w:tcBorders>
            <w:tcMar>
              <w:top w:w="0" w:type="dxa"/>
              <w:left w:w="105" w:type="dxa"/>
              <w:bottom w:w="0" w:type="dxa"/>
              <w:right w:w="105" w:type="dxa"/>
            </w:tcMar>
          </w:tcPr>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a.采购包内属于节能、环境标志产品的报价总金额：</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b.采购包投标总价（报价总金额）：</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c.“采购包内属于节能、环境标志产品的报价总金额”占“采购包投标总价（报价总金额）”的比例（以</w:t>
            </w:r>
            <w:r>
              <w:rPr>
                <w:rFonts w:ascii="Calibri" w:hAnsi="Calibri" w:eastAsia="宋体" w:cs="宋体"/>
                <w:color w:val="auto"/>
                <w:kern w:val="0"/>
                <w:szCs w:val="21"/>
                <w:highlight w:val="none"/>
              </w:rPr>
              <w:t>%</w:t>
            </w:r>
            <w:r>
              <w:rPr>
                <w:rFonts w:ascii="宋体" w:hAnsi="宋体" w:eastAsia="宋体" w:cs="宋体"/>
                <w:color w:val="auto"/>
                <w:kern w:val="0"/>
                <w:szCs w:val="21"/>
                <w:highlight w:val="none"/>
              </w:rPr>
              <w:t>列示）：</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w:t>
            </w:r>
          </w:p>
        </w:tc>
      </w:tr>
    </w:tbl>
    <w:p>
      <w:pPr>
        <w:widowControl/>
        <w:spacing w:before="100" w:beforeAutospacing="1" w:after="100" w:afterAutospacing="1"/>
        <w:jc w:val="left"/>
        <w:rPr>
          <w:rFonts w:ascii="宋体" w:hAnsi="宋体" w:eastAsia="宋体" w:cs="宋体"/>
          <w:color w:val="auto"/>
          <w:kern w:val="0"/>
          <w:sz w:val="24"/>
          <w:szCs w:val="24"/>
          <w:highlight w:val="none"/>
        </w:rPr>
      </w:pPr>
      <w:r>
        <w:rPr>
          <w:rFonts w:hint="eastAsia" w:ascii="宋体" w:hAnsi="宋体" w:eastAsia="宋体" w:cs="宋体"/>
          <w:color w:val="auto"/>
          <w:kern w:val="0"/>
          <w:szCs w:val="21"/>
          <w:highlight w:val="none"/>
        </w:rPr>
        <w:t>※</w:t>
      </w:r>
      <w:r>
        <w:rPr>
          <w:rFonts w:ascii="宋体" w:hAnsi="宋体" w:eastAsia="宋体" w:cs="宋体"/>
          <w:color w:val="auto"/>
          <w:kern w:val="0"/>
          <w:szCs w:val="21"/>
          <w:highlight w:val="none"/>
        </w:rPr>
        <w:t>注意：</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1、对节能、环境标志产品计算加分时，只依据投标文件</w:t>
      </w:r>
      <w:r>
        <w:rPr>
          <w:rFonts w:ascii="宋体" w:hAnsi="宋体" w:eastAsia="宋体" w:cs="宋体"/>
          <w:b/>
          <w:bCs/>
          <w:color w:val="auto"/>
          <w:kern w:val="0"/>
          <w:szCs w:val="21"/>
          <w:highlight w:val="none"/>
        </w:rPr>
        <w:t>“四</w:t>
      </w:r>
      <w:r>
        <w:rPr>
          <w:rFonts w:ascii="Calibri" w:hAnsi="Calibri" w:eastAsia="宋体" w:cs="宋体"/>
          <w:b/>
          <w:bCs/>
          <w:color w:val="auto"/>
          <w:kern w:val="0"/>
          <w:szCs w:val="21"/>
          <w:highlight w:val="none"/>
        </w:rPr>
        <w:t>-1-</w:t>
      </w:r>
      <w:r>
        <w:rPr>
          <w:rFonts w:hint="eastAsia" w:ascii="宋体" w:hAnsi="宋体" w:eastAsia="宋体" w:cs="宋体"/>
          <w:b/>
          <w:bCs/>
          <w:color w:val="auto"/>
          <w:kern w:val="0"/>
          <w:szCs w:val="21"/>
          <w:highlight w:val="none"/>
        </w:rPr>
        <w:t>②</w:t>
      </w:r>
      <w:r>
        <w:rPr>
          <w:rFonts w:ascii="宋体" w:hAnsi="宋体" w:eastAsia="宋体" w:cs="宋体"/>
          <w:b/>
          <w:bCs/>
          <w:color w:val="auto"/>
          <w:kern w:val="0"/>
          <w:szCs w:val="21"/>
          <w:highlight w:val="none"/>
        </w:rPr>
        <w:t>优先类节能产品、环境标志产品加分证明材料（加分适用，若有）”。</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2、本表以采购包为单位，不同采购包请分别填写；同一采购包请按照其品目号顺序分别填写。</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3、具体统计、计算：</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3.1</w:t>
      </w:r>
      <w:r>
        <w:rPr>
          <w:rFonts w:ascii="Calibri" w:hAnsi="Calibri" w:eastAsia="宋体" w:cs="宋体"/>
          <w:color w:val="auto"/>
          <w:kern w:val="0"/>
          <w:szCs w:val="21"/>
          <w:highlight w:val="none"/>
        </w:rPr>
        <w:t> </w:t>
      </w:r>
      <w:r>
        <w:rPr>
          <w:rFonts w:ascii="宋体" w:hAnsi="宋体" w:eastAsia="宋体" w:cs="宋体"/>
          <w:color w:val="auto"/>
          <w:kern w:val="0"/>
          <w:szCs w:val="21"/>
          <w:highlight w:val="none"/>
        </w:rPr>
        <w:t>若节能、环境标志产品仅是构成投标产品的部件、组件或零件，则该投标产品不享受鼓励优惠政策。同一品目中各认证证书不重复计算加分。强制类节能产品不享受加分。</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3.2计算结果若除不尽，可四舍五入保留到小数点后两位。</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3.3投标人应按照招标文件要求认真统计、计算，否则评标委员会不予认定。</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3.4若无节能、环境标志产品，不填写本表，否则，</w:t>
      </w:r>
      <w:r>
        <w:rPr>
          <w:rFonts w:ascii="宋体" w:hAnsi="宋体" w:eastAsia="宋体" w:cs="宋体"/>
          <w:b/>
          <w:bCs/>
          <w:color w:val="auto"/>
          <w:kern w:val="0"/>
          <w:szCs w:val="21"/>
          <w:highlight w:val="none"/>
        </w:rPr>
        <w:t>视为提供虚假材料</w:t>
      </w:r>
      <w:r>
        <w:rPr>
          <w:rFonts w:ascii="宋体" w:hAnsi="宋体" w:eastAsia="宋体" w:cs="宋体"/>
          <w:color w:val="auto"/>
          <w:kern w:val="0"/>
          <w:szCs w:val="21"/>
          <w:highlight w:val="none"/>
        </w:rPr>
        <w:t>。</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投标人：</w:t>
      </w:r>
      <w:r>
        <w:rPr>
          <w:rFonts w:ascii="宋体" w:hAnsi="宋体" w:eastAsia="宋体" w:cs="宋体"/>
          <w:color w:val="auto"/>
          <w:kern w:val="0"/>
          <w:szCs w:val="21"/>
          <w:highlight w:val="none"/>
          <w:u w:val="single"/>
        </w:rPr>
        <w:t>（全称并加盖单位公章）</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日期：</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年</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月</w:t>
      </w:r>
      <w:r>
        <w:rPr>
          <w:rFonts w:ascii="宋体" w:hAnsi="宋体" w:eastAsia="宋体" w:cs="宋体"/>
          <w:color w:val="auto"/>
          <w:kern w:val="0"/>
          <w:szCs w:val="21"/>
          <w:highlight w:val="none"/>
          <w:u w:val="single"/>
        </w:rPr>
        <w:t>   </w:t>
      </w:r>
      <w:r>
        <w:rPr>
          <w:rFonts w:ascii="宋体" w:hAnsi="宋体" w:eastAsia="宋体" w:cs="宋体"/>
          <w:color w:val="auto"/>
          <w:kern w:val="0"/>
          <w:szCs w:val="21"/>
          <w:highlight w:val="none"/>
        </w:rPr>
        <w:t>日</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100" w:beforeAutospacing="1" w:after="240"/>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r>
        <w:rPr>
          <w:rFonts w:ascii="宋体" w:hAnsi="宋体" w:eastAsia="宋体" w:cs="宋体"/>
          <w:b/>
          <w:bCs/>
          <w:color w:val="auto"/>
          <w:kern w:val="0"/>
          <w:szCs w:val="21"/>
          <w:highlight w:val="none"/>
        </w:rPr>
        <w:br w:type="textWrapping"/>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b/>
          <w:bCs/>
          <w:color w:val="auto"/>
          <w:kern w:val="0"/>
          <w:szCs w:val="21"/>
          <w:highlight w:val="none"/>
        </w:rPr>
        <w:br w:type="textWrapping"/>
      </w:r>
      <w:r>
        <w:rPr>
          <w:rFonts w:ascii="宋体" w:hAnsi="宋体" w:eastAsia="宋体" w:cs="宋体"/>
          <w:b/>
          <w:bCs/>
          <w:color w:val="auto"/>
          <w:kern w:val="0"/>
          <w:szCs w:val="21"/>
          <w:highlight w:val="none"/>
        </w:rPr>
        <w:t>四-1-</w:t>
      </w:r>
      <w:r>
        <w:rPr>
          <w:rFonts w:hint="eastAsia" w:ascii="宋体" w:hAnsi="宋体" w:eastAsia="宋体" w:cs="宋体"/>
          <w:b/>
          <w:bCs/>
          <w:color w:val="auto"/>
          <w:kern w:val="0"/>
          <w:szCs w:val="21"/>
          <w:highlight w:val="none"/>
        </w:rPr>
        <w:t>②</w:t>
      </w:r>
      <w:r>
        <w:rPr>
          <w:rFonts w:ascii="宋体" w:hAnsi="宋体" w:eastAsia="宋体" w:cs="宋体"/>
          <w:b/>
          <w:bCs/>
          <w:color w:val="auto"/>
          <w:kern w:val="0"/>
          <w:szCs w:val="21"/>
          <w:highlight w:val="none"/>
        </w:rPr>
        <w:t>优先类节能产品、环境标志产品证明材料（加分适用，若有）</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br w:type="textWrapping"/>
      </w:r>
      <w:r>
        <w:rPr>
          <w:rFonts w:ascii="宋体" w:hAnsi="宋体" w:eastAsia="宋体" w:cs="宋体"/>
          <w:color w:val="auto"/>
          <w:kern w:val="0"/>
          <w:szCs w:val="21"/>
          <w:highlight w:val="none"/>
        </w:rPr>
        <w:t>四</w:t>
      </w:r>
      <w:r>
        <w:rPr>
          <w:rFonts w:ascii="宋体" w:hAnsi="宋体" w:eastAsia="宋体" w:cs="宋体"/>
          <w:b/>
          <w:bCs/>
          <w:color w:val="auto"/>
          <w:kern w:val="0"/>
          <w:szCs w:val="21"/>
          <w:highlight w:val="none"/>
        </w:rPr>
        <w:t>-2招标文件规定的其他加分证明材料（若有）</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编制说明</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ind w:firstLine="420"/>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若投标人可享受招标文件规定的除</w:t>
      </w:r>
      <w:r>
        <w:rPr>
          <w:rFonts w:ascii="宋体" w:hAnsi="宋体" w:eastAsia="宋体" w:cs="宋体"/>
          <w:b/>
          <w:bCs/>
          <w:color w:val="auto"/>
          <w:kern w:val="0"/>
          <w:szCs w:val="21"/>
          <w:highlight w:val="none"/>
        </w:rPr>
        <w:t>“优先类节能产品、环境标志产品加分”</w:t>
      </w:r>
      <w:r>
        <w:rPr>
          <w:rFonts w:ascii="宋体" w:hAnsi="宋体" w:eastAsia="宋体" w:cs="宋体"/>
          <w:color w:val="auto"/>
          <w:kern w:val="0"/>
          <w:szCs w:val="21"/>
          <w:highlight w:val="none"/>
        </w:rPr>
        <w:t>外的其他加分优惠，则投标人应按照招标文件要求提供相应证明材料。</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sz w:val="28"/>
          <w:szCs w:val="28"/>
          <w:highlight w:val="none"/>
        </w:rPr>
        <w:t>封面格式</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36"/>
          <w:szCs w:val="36"/>
          <w:highlight w:val="none"/>
        </w:rPr>
        <w:t> </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36"/>
          <w:szCs w:val="36"/>
          <w:highlight w:val="none"/>
        </w:rPr>
        <w:t> </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36"/>
          <w:szCs w:val="36"/>
          <w:highlight w:val="none"/>
        </w:rPr>
        <w:t> </w:t>
      </w:r>
    </w:p>
    <w:p>
      <w:pPr>
        <w:pStyle w:val="18"/>
        <w:widowControl/>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sz w:val="48"/>
          <w:szCs w:val="48"/>
          <w:highlight w:val="none"/>
        </w:rPr>
        <w:t>福建省政府采购投标文件</w:t>
      </w:r>
    </w:p>
    <w:p>
      <w:pPr>
        <w:pStyle w:val="18"/>
        <w:widowControl/>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sz w:val="48"/>
          <w:szCs w:val="48"/>
          <w:highlight w:val="none"/>
        </w:rPr>
        <w:t>（技术商务部分）</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36"/>
          <w:szCs w:val="36"/>
          <w:highlight w:val="none"/>
        </w:rPr>
        <w:t> </w:t>
      </w:r>
    </w:p>
    <w:p>
      <w:pPr>
        <w:pStyle w:val="18"/>
        <w:widowControl/>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sz w:val="36"/>
          <w:szCs w:val="36"/>
          <w:highlight w:val="none"/>
          <w:u w:val="single"/>
        </w:rPr>
        <w:t>（填写正本或副本）</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36"/>
          <w:szCs w:val="36"/>
          <w:highlight w:val="none"/>
        </w:rPr>
        <w:t> </w:t>
      </w:r>
    </w:p>
    <w:p>
      <w:pPr>
        <w:pStyle w:val="18"/>
        <w:widowControl/>
        <w:ind w:firstLine="1920"/>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sz w:val="31"/>
          <w:szCs w:val="31"/>
          <w:highlight w:val="none"/>
        </w:rPr>
        <w:t>项目名称：</w:t>
      </w:r>
      <w:r>
        <w:rPr>
          <w:rStyle w:val="25"/>
          <w:rFonts w:hint="eastAsia" w:asciiTheme="majorEastAsia" w:hAnsiTheme="majorEastAsia" w:eastAsiaTheme="majorEastAsia" w:cstheme="majorEastAsia"/>
          <w:color w:val="auto"/>
          <w:sz w:val="31"/>
          <w:szCs w:val="31"/>
          <w:highlight w:val="none"/>
          <w:u w:val="single"/>
        </w:rPr>
        <w:t>（由投标人填写）</w:t>
      </w:r>
    </w:p>
    <w:p>
      <w:pPr>
        <w:pStyle w:val="18"/>
        <w:widowControl/>
        <w:ind w:firstLine="1920"/>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sz w:val="31"/>
          <w:szCs w:val="31"/>
          <w:highlight w:val="none"/>
          <w:lang w:eastAsia="zh-CN"/>
        </w:rPr>
        <w:t>项目编号</w:t>
      </w:r>
      <w:r>
        <w:rPr>
          <w:rStyle w:val="25"/>
          <w:rFonts w:hint="eastAsia" w:asciiTheme="majorEastAsia" w:hAnsiTheme="majorEastAsia" w:eastAsiaTheme="majorEastAsia" w:cstheme="majorEastAsia"/>
          <w:color w:val="auto"/>
          <w:sz w:val="31"/>
          <w:szCs w:val="31"/>
          <w:highlight w:val="none"/>
        </w:rPr>
        <w:t>：</w:t>
      </w:r>
      <w:r>
        <w:rPr>
          <w:rStyle w:val="25"/>
          <w:rFonts w:hint="eastAsia" w:asciiTheme="majorEastAsia" w:hAnsiTheme="majorEastAsia" w:eastAsiaTheme="majorEastAsia" w:cstheme="majorEastAsia"/>
          <w:color w:val="auto"/>
          <w:sz w:val="31"/>
          <w:szCs w:val="31"/>
          <w:highlight w:val="none"/>
          <w:u w:val="single"/>
        </w:rPr>
        <w:t>（由投标人填写）</w:t>
      </w:r>
    </w:p>
    <w:p>
      <w:pPr>
        <w:pStyle w:val="18"/>
        <w:widowControl/>
        <w:ind w:firstLine="1920"/>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sz w:val="31"/>
          <w:szCs w:val="31"/>
          <w:highlight w:val="none"/>
        </w:rPr>
        <w:t>所投合同包：</w:t>
      </w:r>
      <w:r>
        <w:rPr>
          <w:rStyle w:val="25"/>
          <w:rFonts w:hint="eastAsia" w:asciiTheme="majorEastAsia" w:hAnsiTheme="majorEastAsia" w:eastAsiaTheme="majorEastAsia" w:cstheme="majorEastAsia"/>
          <w:color w:val="auto"/>
          <w:sz w:val="31"/>
          <w:szCs w:val="31"/>
          <w:highlight w:val="none"/>
          <w:u w:val="single"/>
        </w:rPr>
        <w:t>（由投标人填写）</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36"/>
          <w:szCs w:val="36"/>
          <w:highlight w:val="none"/>
        </w:rPr>
        <w:t> </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36"/>
          <w:szCs w:val="36"/>
          <w:highlight w:val="none"/>
        </w:rPr>
        <w:t> </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36"/>
          <w:szCs w:val="36"/>
          <w:highlight w:val="none"/>
        </w:rPr>
        <w:t> </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36"/>
          <w:szCs w:val="36"/>
          <w:highlight w:val="none"/>
        </w:rPr>
        <w:t> </w:t>
      </w:r>
    </w:p>
    <w:p>
      <w:pPr>
        <w:pStyle w:val="18"/>
        <w:widowControl/>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sz w:val="31"/>
          <w:szCs w:val="31"/>
          <w:highlight w:val="none"/>
        </w:rPr>
        <w:t>投标人：</w:t>
      </w:r>
      <w:r>
        <w:rPr>
          <w:rStyle w:val="25"/>
          <w:rFonts w:hint="eastAsia" w:asciiTheme="majorEastAsia" w:hAnsiTheme="majorEastAsia" w:eastAsiaTheme="majorEastAsia" w:cstheme="majorEastAsia"/>
          <w:color w:val="auto"/>
          <w:sz w:val="31"/>
          <w:szCs w:val="31"/>
          <w:highlight w:val="none"/>
          <w:u w:val="single"/>
        </w:rPr>
        <w:t>（填写“全称”）</w:t>
      </w:r>
    </w:p>
    <w:p>
      <w:pPr>
        <w:pStyle w:val="18"/>
        <w:widowControl/>
        <w:jc w:val="center"/>
        <w:rPr>
          <w:rFonts w:asciiTheme="majorEastAsia" w:hAnsiTheme="majorEastAsia" w:eastAsiaTheme="majorEastAsia" w:cstheme="majorEastAsia"/>
          <w:color w:val="auto"/>
          <w:highlight w:val="none"/>
        </w:rPr>
      </w:pPr>
      <w:r>
        <w:rPr>
          <w:rStyle w:val="25"/>
          <w:rFonts w:hint="eastAsia" w:asciiTheme="majorEastAsia" w:hAnsiTheme="majorEastAsia" w:eastAsiaTheme="majorEastAsia" w:cstheme="majorEastAsia"/>
          <w:color w:val="auto"/>
          <w:sz w:val="31"/>
          <w:szCs w:val="31"/>
          <w:highlight w:val="none"/>
          <w:u w:val="single"/>
        </w:rPr>
        <w:t>（由投标人填写）</w:t>
      </w:r>
      <w:r>
        <w:rPr>
          <w:rStyle w:val="25"/>
          <w:rFonts w:hint="eastAsia" w:asciiTheme="majorEastAsia" w:hAnsiTheme="majorEastAsia" w:eastAsiaTheme="majorEastAsia" w:cstheme="majorEastAsia"/>
          <w:color w:val="auto"/>
          <w:sz w:val="31"/>
          <w:szCs w:val="31"/>
          <w:highlight w:val="none"/>
        </w:rPr>
        <w:t>年</w:t>
      </w:r>
      <w:r>
        <w:rPr>
          <w:rStyle w:val="25"/>
          <w:rFonts w:hint="eastAsia" w:asciiTheme="majorEastAsia" w:hAnsiTheme="majorEastAsia" w:eastAsiaTheme="majorEastAsia" w:cstheme="majorEastAsia"/>
          <w:color w:val="auto"/>
          <w:sz w:val="31"/>
          <w:szCs w:val="31"/>
          <w:highlight w:val="none"/>
          <w:u w:val="single"/>
        </w:rPr>
        <w:t>（由投标人填写）</w:t>
      </w:r>
      <w:r>
        <w:rPr>
          <w:rStyle w:val="25"/>
          <w:rFonts w:hint="eastAsia" w:asciiTheme="majorEastAsia" w:hAnsiTheme="majorEastAsia" w:eastAsiaTheme="majorEastAsia" w:cstheme="majorEastAsia"/>
          <w:color w:val="auto"/>
          <w:sz w:val="31"/>
          <w:szCs w:val="31"/>
          <w:highlight w:val="none"/>
        </w:rPr>
        <w:t>月</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jc w:val="center"/>
        <w:rPr>
          <w:rFonts w:asciiTheme="majorEastAsia" w:hAnsiTheme="majorEastAsia" w:eastAsiaTheme="majorEastAsia" w:cstheme="majorEastAsia"/>
          <w:color w:val="auto"/>
          <w:sz w:val="21"/>
          <w:szCs w:val="21"/>
          <w:highlight w:val="none"/>
        </w:rPr>
      </w:pPr>
    </w:p>
    <w:p>
      <w:pPr>
        <w:pStyle w:val="18"/>
        <w:widowControl/>
        <w:jc w:val="center"/>
        <w:rPr>
          <w:rFonts w:asciiTheme="majorEastAsia" w:hAnsiTheme="majorEastAsia" w:eastAsiaTheme="majorEastAsia" w:cstheme="majorEastAsia"/>
          <w:color w:val="auto"/>
          <w:sz w:val="21"/>
          <w:szCs w:val="21"/>
          <w:highlight w:val="none"/>
        </w:rPr>
      </w:pPr>
    </w:p>
    <w:p>
      <w:pPr>
        <w:pStyle w:val="18"/>
        <w:widowControl/>
        <w:jc w:val="center"/>
        <w:rPr>
          <w:rFonts w:asciiTheme="majorEastAsia" w:hAnsiTheme="majorEastAsia" w:eastAsiaTheme="majorEastAsia" w:cstheme="majorEastAsia"/>
          <w:color w:val="auto"/>
          <w:sz w:val="21"/>
          <w:szCs w:val="21"/>
          <w:highlight w:val="none"/>
        </w:rPr>
      </w:pPr>
    </w:p>
    <w:p>
      <w:pPr>
        <w:pStyle w:val="18"/>
        <w:widowControl/>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br w:type="textWrapping"/>
      </w:r>
      <w:r>
        <w:rPr>
          <w:rStyle w:val="25"/>
          <w:rFonts w:hint="eastAsia" w:asciiTheme="majorEastAsia" w:hAnsiTheme="majorEastAsia" w:eastAsiaTheme="majorEastAsia" w:cstheme="majorEastAsia"/>
          <w:color w:val="auto"/>
          <w:sz w:val="28"/>
          <w:szCs w:val="28"/>
          <w:highlight w:val="none"/>
        </w:rPr>
        <w:t>索引</w:t>
      </w:r>
    </w:p>
    <w:p>
      <w:pPr>
        <w:pStyle w:val="18"/>
        <w:widowControl/>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2"/>
          <w:szCs w:val="22"/>
          <w:highlight w:val="none"/>
        </w:rPr>
        <w:t>一、标的说明一览表</w:t>
      </w:r>
    </w:p>
    <w:p>
      <w:pPr>
        <w:pStyle w:val="18"/>
        <w:widowControl/>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2"/>
          <w:szCs w:val="22"/>
          <w:highlight w:val="none"/>
        </w:rPr>
        <w:t>二、技术和服务要求响应表</w:t>
      </w:r>
    </w:p>
    <w:p>
      <w:pPr>
        <w:pStyle w:val="18"/>
        <w:widowControl/>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2"/>
          <w:szCs w:val="22"/>
          <w:highlight w:val="none"/>
        </w:rPr>
        <w:t>三、商务条件响应表</w:t>
      </w:r>
    </w:p>
    <w:p>
      <w:pPr>
        <w:pStyle w:val="18"/>
        <w:widowControl/>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2"/>
          <w:szCs w:val="22"/>
          <w:highlight w:val="none"/>
        </w:rPr>
        <w:t>四、投标人提交的其他资料（若有）</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 </w:t>
      </w: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★注意</w:t>
      </w:r>
    </w:p>
    <w:p>
      <w:pPr>
        <w:pStyle w:val="18"/>
        <w:widowControl/>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技术商务部分中不得出现报价部分的全部或部分的投标报价信息（或组成资料），否则</w:t>
      </w:r>
      <w:r>
        <w:rPr>
          <w:rStyle w:val="25"/>
          <w:rFonts w:hint="eastAsia" w:asciiTheme="majorEastAsia" w:hAnsiTheme="majorEastAsia" w:eastAsiaTheme="majorEastAsia" w:cstheme="majorEastAsia"/>
          <w:color w:val="auto"/>
          <w:sz w:val="21"/>
          <w:szCs w:val="21"/>
          <w:highlight w:val="none"/>
        </w:rPr>
        <w:t>符合性审查不合格</w:t>
      </w:r>
      <w:r>
        <w:rPr>
          <w:rFonts w:hint="eastAsia" w:asciiTheme="majorEastAsia" w:hAnsiTheme="majorEastAsia" w:eastAsiaTheme="majorEastAsia" w:cstheme="majorEastAsia"/>
          <w:color w:val="auto"/>
          <w:sz w:val="21"/>
          <w:szCs w:val="21"/>
          <w:highlight w:val="none"/>
        </w:rPr>
        <w:t>。</w:t>
      </w:r>
    </w:p>
    <w:p>
      <w:pPr>
        <w:pStyle w:val="18"/>
        <w:widowControl/>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jc w:val="center"/>
        <w:rPr>
          <w:rFonts w:asciiTheme="majorEastAsia" w:hAnsiTheme="majorEastAsia" w:eastAsiaTheme="majorEastAsia" w:cstheme="majorEastAsia"/>
          <w:color w:val="auto"/>
          <w:sz w:val="21"/>
          <w:szCs w:val="21"/>
          <w:highlight w:val="none"/>
        </w:rPr>
      </w:pPr>
    </w:p>
    <w:p>
      <w:pPr>
        <w:pStyle w:val="18"/>
        <w:widowControl/>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br w:type="textWrapping"/>
      </w:r>
      <w:r>
        <w:rPr>
          <w:rStyle w:val="25"/>
          <w:rFonts w:hint="eastAsia" w:asciiTheme="majorEastAsia" w:hAnsiTheme="majorEastAsia" w:eastAsiaTheme="majorEastAsia" w:cstheme="majorEastAsia"/>
          <w:color w:val="auto"/>
          <w:sz w:val="21"/>
          <w:szCs w:val="21"/>
          <w:highlight w:val="none"/>
        </w:rPr>
        <w:t>一、标的说明一览表</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项目编号：</w:t>
      </w:r>
      <w:r>
        <w:rPr>
          <w:rFonts w:ascii="宋体" w:hAnsi="宋体" w:eastAsia="宋体" w:cs="宋体"/>
          <w:color w:val="auto"/>
          <w:kern w:val="0"/>
          <w:szCs w:val="21"/>
          <w:highlight w:val="none"/>
          <w:u w:val="single"/>
        </w:rPr>
        <w:t>                   </w:t>
      </w:r>
    </w:p>
    <w:tbl>
      <w:tblPr>
        <w:tblStyle w:val="21"/>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980"/>
        <w:gridCol w:w="869"/>
        <w:gridCol w:w="1663"/>
        <w:gridCol w:w="864"/>
        <w:gridCol w:w="1146"/>
        <w:gridCol w:w="1135"/>
        <w:gridCol w:w="186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采购包</w:t>
            </w:r>
          </w:p>
        </w:tc>
        <w:tc>
          <w:tcPr>
            <w:tcW w:w="85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品目号</w:t>
            </w:r>
          </w:p>
        </w:tc>
        <w:tc>
          <w:tcPr>
            <w:tcW w:w="169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投标标的</w:t>
            </w:r>
          </w:p>
        </w:tc>
        <w:tc>
          <w:tcPr>
            <w:tcW w:w="85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数量</w:t>
            </w:r>
          </w:p>
        </w:tc>
        <w:tc>
          <w:tcPr>
            <w:tcW w:w="114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规格（品牌/型号）</w:t>
            </w:r>
          </w:p>
        </w:tc>
        <w:tc>
          <w:tcPr>
            <w:tcW w:w="114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来源地</w:t>
            </w:r>
          </w:p>
        </w:tc>
        <w:tc>
          <w:tcPr>
            <w:tcW w:w="189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w:t>
            </w: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w:t>
            </w:r>
          </w:p>
        </w:tc>
        <w:tc>
          <w:tcPr>
            <w:tcW w:w="169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85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14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14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vMerge w:val="continue"/>
            <w:tcBorders>
              <w:top w:val="nil"/>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highlight w:val="none"/>
              </w:rPr>
            </w:pP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t>…</w:t>
            </w:r>
          </w:p>
        </w:tc>
        <w:tc>
          <w:tcPr>
            <w:tcW w:w="169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85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14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14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t>…</w:t>
            </w: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69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85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14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14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r>
    </w:tbl>
    <w:p>
      <w:pPr>
        <w:widowControl/>
        <w:spacing w:before="100" w:beforeAutospacing="1" w:after="100" w:afterAutospacing="1"/>
        <w:jc w:val="left"/>
        <w:rPr>
          <w:rFonts w:ascii="宋体" w:hAnsi="宋体" w:eastAsia="宋体" w:cs="宋体"/>
          <w:color w:val="auto"/>
          <w:kern w:val="0"/>
          <w:sz w:val="24"/>
          <w:szCs w:val="24"/>
          <w:highlight w:val="none"/>
        </w:rPr>
      </w:pPr>
      <w:r>
        <w:rPr>
          <w:rFonts w:hint="eastAsia" w:ascii="宋体" w:hAnsi="宋体" w:eastAsia="宋体" w:cs="宋体"/>
          <w:color w:val="auto"/>
          <w:kern w:val="0"/>
          <w:szCs w:val="21"/>
          <w:highlight w:val="none"/>
        </w:rPr>
        <w:t>※</w:t>
      </w:r>
      <w:r>
        <w:rPr>
          <w:rFonts w:ascii="宋体" w:hAnsi="宋体" w:eastAsia="宋体" w:cs="宋体"/>
          <w:color w:val="auto"/>
          <w:kern w:val="0"/>
          <w:szCs w:val="21"/>
          <w:highlight w:val="none"/>
        </w:rPr>
        <w:t>注意：</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1、本表应按照下列规定填写：</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1.1“采购包”、“品目号”、“投标标的”及“数量”应与招标文件《采购标的一览表》中的有关内容（“采购包”、“品目号”、“采购标的”及“数量”）保持一致。</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1.2“投标标的”为货物的：</w:t>
      </w:r>
      <w:r>
        <w:rPr>
          <w:rFonts w:ascii="宋体" w:hAnsi="宋体" w:eastAsia="宋体" w:cs="宋体"/>
          <w:b/>
          <w:bCs/>
          <w:color w:val="auto"/>
          <w:kern w:val="0"/>
          <w:szCs w:val="21"/>
          <w:highlight w:val="none"/>
        </w:rPr>
        <w:t>“规格”</w:t>
      </w:r>
      <w:r>
        <w:rPr>
          <w:rFonts w:ascii="宋体" w:hAnsi="宋体" w:eastAsia="宋体" w:cs="宋体"/>
          <w:color w:val="auto"/>
          <w:kern w:val="0"/>
          <w:szCs w:val="21"/>
          <w:highlight w:val="none"/>
        </w:rPr>
        <w:t>项下应填写货物制造厂商赋予的品牌（属于节能、环保清单产品的货物，填写的品牌名称应与清单载明的品牌名称保持一致）及具体型号。</w:t>
      </w:r>
      <w:r>
        <w:rPr>
          <w:rFonts w:ascii="宋体" w:hAnsi="宋体" w:eastAsia="宋体" w:cs="宋体"/>
          <w:b/>
          <w:bCs/>
          <w:color w:val="auto"/>
          <w:kern w:val="0"/>
          <w:szCs w:val="21"/>
          <w:highlight w:val="none"/>
        </w:rPr>
        <w:t>“来源地”</w:t>
      </w:r>
      <w:r>
        <w:rPr>
          <w:rFonts w:ascii="宋体" w:hAnsi="宋体" w:eastAsia="宋体" w:cs="宋体"/>
          <w:color w:val="auto"/>
          <w:kern w:val="0"/>
          <w:szCs w:val="21"/>
          <w:highlight w:val="none"/>
        </w:rPr>
        <w:t>应填写货物的原产地。</w:t>
      </w:r>
      <w:r>
        <w:rPr>
          <w:rFonts w:ascii="宋体" w:hAnsi="宋体" w:eastAsia="宋体" w:cs="宋体"/>
          <w:b/>
          <w:bCs/>
          <w:color w:val="auto"/>
          <w:kern w:val="0"/>
          <w:szCs w:val="21"/>
          <w:highlight w:val="none"/>
        </w:rPr>
        <w:t>“备注”</w:t>
      </w:r>
      <w:r>
        <w:rPr>
          <w:rFonts w:ascii="宋体" w:hAnsi="宋体" w:eastAsia="宋体" w:cs="宋体"/>
          <w:color w:val="auto"/>
          <w:kern w:val="0"/>
          <w:szCs w:val="21"/>
          <w:highlight w:val="none"/>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1.3“投标标的”为服务的：</w:t>
      </w:r>
      <w:r>
        <w:rPr>
          <w:rFonts w:ascii="宋体" w:hAnsi="宋体" w:eastAsia="宋体" w:cs="宋体"/>
          <w:b/>
          <w:bCs/>
          <w:color w:val="auto"/>
          <w:kern w:val="0"/>
          <w:szCs w:val="21"/>
          <w:highlight w:val="none"/>
        </w:rPr>
        <w:t>“规格”</w:t>
      </w:r>
      <w:r>
        <w:rPr>
          <w:rFonts w:ascii="宋体" w:hAnsi="宋体" w:eastAsia="宋体" w:cs="宋体"/>
          <w:color w:val="auto"/>
          <w:kern w:val="0"/>
          <w:szCs w:val="21"/>
          <w:highlight w:val="none"/>
        </w:rPr>
        <w:t>项下应填写服务提供者提供的服务标准及品牌（若有）。</w:t>
      </w:r>
      <w:r>
        <w:rPr>
          <w:rFonts w:ascii="宋体" w:hAnsi="宋体" w:eastAsia="宋体" w:cs="宋体"/>
          <w:b/>
          <w:bCs/>
          <w:color w:val="auto"/>
          <w:kern w:val="0"/>
          <w:szCs w:val="21"/>
          <w:highlight w:val="none"/>
        </w:rPr>
        <w:t>“来源地”</w:t>
      </w:r>
      <w:r>
        <w:rPr>
          <w:rFonts w:ascii="宋体" w:hAnsi="宋体" w:eastAsia="宋体" w:cs="宋体"/>
          <w:color w:val="auto"/>
          <w:kern w:val="0"/>
          <w:szCs w:val="21"/>
          <w:highlight w:val="none"/>
        </w:rPr>
        <w:t>应填写服务提供者的所在地。</w:t>
      </w:r>
      <w:r>
        <w:rPr>
          <w:rFonts w:ascii="宋体" w:hAnsi="宋体" w:eastAsia="宋体" w:cs="宋体"/>
          <w:b/>
          <w:bCs/>
          <w:color w:val="auto"/>
          <w:kern w:val="0"/>
          <w:szCs w:val="21"/>
          <w:highlight w:val="none"/>
        </w:rPr>
        <w:t>“备注”</w:t>
      </w:r>
      <w:r>
        <w:rPr>
          <w:rFonts w:ascii="宋体" w:hAnsi="宋体" w:eastAsia="宋体" w:cs="宋体"/>
          <w:color w:val="auto"/>
          <w:kern w:val="0"/>
          <w:szCs w:val="21"/>
          <w:highlight w:val="none"/>
        </w:rPr>
        <w:t>项下应填写关于服务标准所涵盖的具体项目或内容的说明等。</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2、投标人需要说明的内容若需特殊表达，应先在本表中进行相应说明，再另页应答，但应做好标注说明，方便评委查阅评审。未标注说明可能导致的不利的评审后果由投标人自行承担。</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3、投标文件中涉及</w:t>
      </w:r>
      <w:r>
        <w:rPr>
          <w:rFonts w:ascii="宋体" w:hAnsi="宋体" w:eastAsia="宋体" w:cs="宋体"/>
          <w:b/>
          <w:bCs/>
          <w:color w:val="auto"/>
          <w:kern w:val="0"/>
          <w:szCs w:val="21"/>
          <w:highlight w:val="none"/>
        </w:rPr>
        <w:t>“投标标的”、“数量”、“规格”、“来源地”</w:t>
      </w:r>
      <w:r>
        <w:rPr>
          <w:rFonts w:ascii="宋体" w:hAnsi="宋体" w:eastAsia="宋体" w:cs="宋体"/>
          <w:color w:val="auto"/>
          <w:kern w:val="0"/>
          <w:szCs w:val="21"/>
          <w:highlight w:val="none"/>
        </w:rPr>
        <w:t>的内容若不一致，</w:t>
      </w:r>
      <w:r>
        <w:rPr>
          <w:rFonts w:ascii="宋体" w:hAnsi="宋体" w:eastAsia="宋体" w:cs="宋体"/>
          <w:b/>
          <w:bCs/>
          <w:color w:val="auto"/>
          <w:kern w:val="0"/>
          <w:szCs w:val="21"/>
          <w:highlight w:val="none"/>
        </w:rPr>
        <w:t>应以本表为准</w:t>
      </w:r>
      <w:r>
        <w:rPr>
          <w:rFonts w:ascii="宋体" w:hAnsi="宋体" w:eastAsia="宋体" w:cs="宋体"/>
          <w:color w:val="auto"/>
          <w:kern w:val="0"/>
          <w:szCs w:val="21"/>
          <w:highlight w:val="none"/>
        </w:rPr>
        <w:t>。</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spacing w:line="4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投标人：</w:t>
      </w:r>
      <w:r>
        <w:rPr>
          <w:rFonts w:hint="eastAsia" w:asciiTheme="majorEastAsia" w:hAnsiTheme="majorEastAsia" w:eastAsiaTheme="majorEastAsia" w:cstheme="majorEastAsia"/>
          <w:color w:val="auto"/>
          <w:sz w:val="21"/>
          <w:szCs w:val="21"/>
          <w:highlight w:val="none"/>
          <w:u w:val="single"/>
        </w:rPr>
        <w:t>（全称并加盖单位公章）</w:t>
      </w:r>
    </w:p>
    <w:p>
      <w:pPr>
        <w:pStyle w:val="18"/>
        <w:widowControl/>
        <w:spacing w:line="4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投标人代表签字：</w:t>
      </w:r>
      <w:r>
        <w:rPr>
          <w:rFonts w:hint="eastAsia" w:asciiTheme="majorEastAsia" w:hAnsiTheme="majorEastAsia" w:eastAsiaTheme="majorEastAsia" w:cstheme="majorEastAsia"/>
          <w:color w:val="auto"/>
          <w:sz w:val="21"/>
          <w:szCs w:val="21"/>
          <w:highlight w:val="none"/>
          <w:u w:val="single"/>
        </w:rPr>
        <w:t>        </w:t>
      </w:r>
    </w:p>
    <w:p>
      <w:pPr>
        <w:pStyle w:val="18"/>
        <w:widowControl/>
        <w:spacing w:line="4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日期：</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年</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月</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日</w:t>
      </w:r>
    </w:p>
    <w:p>
      <w:pPr>
        <w:pStyle w:val="18"/>
        <w:widowControl/>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r>
        <w:rPr>
          <w:rStyle w:val="25"/>
          <w:rFonts w:hint="eastAsia" w:asciiTheme="majorEastAsia" w:hAnsiTheme="majorEastAsia" w:eastAsiaTheme="majorEastAsia" w:cstheme="majorEastAsia"/>
          <w:color w:val="auto"/>
          <w:sz w:val="21"/>
          <w:szCs w:val="21"/>
          <w:highlight w:val="none"/>
        </w:rPr>
        <w:br w:type="textWrapping"/>
      </w:r>
      <w:r>
        <w:rPr>
          <w:rStyle w:val="25"/>
          <w:rFonts w:hint="eastAsia" w:asciiTheme="majorEastAsia" w:hAnsiTheme="majorEastAsia" w:eastAsiaTheme="majorEastAsia" w:cstheme="majorEastAsia"/>
          <w:color w:val="auto"/>
          <w:sz w:val="21"/>
          <w:szCs w:val="21"/>
          <w:highlight w:val="none"/>
        </w:rPr>
        <w:t>二、技术和服务要求响应表</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项目编号：</w:t>
      </w:r>
      <w:r>
        <w:rPr>
          <w:rFonts w:ascii="宋体" w:hAnsi="宋体" w:eastAsia="宋体" w:cs="宋体"/>
          <w:color w:val="auto"/>
          <w:kern w:val="0"/>
          <w:szCs w:val="21"/>
          <w:highlight w:val="none"/>
          <w:u w:val="single"/>
        </w:rPr>
        <w:t>                   </w:t>
      </w:r>
    </w:p>
    <w:tbl>
      <w:tblPr>
        <w:tblStyle w:val="21"/>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55" w:hRule="atLeast"/>
          <w:tblCellSpacing w:w="15" w:type="dxa"/>
        </w:trPr>
        <w:tc>
          <w:tcPr>
            <w:tcW w:w="960"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采购包</w:t>
            </w:r>
          </w:p>
        </w:tc>
        <w:tc>
          <w:tcPr>
            <w:tcW w:w="85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品目号</w:t>
            </w:r>
          </w:p>
        </w:tc>
        <w:tc>
          <w:tcPr>
            <w:tcW w:w="297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技术和服务要求</w:t>
            </w:r>
          </w:p>
        </w:tc>
        <w:tc>
          <w:tcPr>
            <w:tcW w:w="184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投标响应</w:t>
            </w:r>
          </w:p>
        </w:tc>
        <w:tc>
          <w:tcPr>
            <w:tcW w:w="189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是否偏离及说明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w:t>
            </w: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w:t>
            </w:r>
          </w:p>
        </w:tc>
        <w:tc>
          <w:tcPr>
            <w:tcW w:w="297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84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vMerge w:val="continue"/>
            <w:tcBorders>
              <w:top w:val="nil"/>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highlight w:val="none"/>
              </w:rPr>
            </w:pP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t>…</w:t>
            </w:r>
          </w:p>
        </w:tc>
        <w:tc>
          <w:tcPr>
            <w:tcW w:w="297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84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t>…</w:t>
            </w: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297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84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r>
    </w:tbl>
    <w:p>
      <w:pPr>
        <w:widowControl/>
        <w:spacing w:before="100" w:beforeAutospacing="1" w:after="100" w:afterAutospacing="1"/>
        <w:jc w:val="left"/>
        <w:rPr>
          <w:rFonts w:ascii="宋体" w:hAnsi="宋体" w:eastAsia="宋体" w:cs="宋体"/>
          <w:color w:val="auto"/>
          <w:kern w:val="0"/>
          <w:sz w:val="24"/>
          <w:szCs w:val="24"/>
          <w:highlight w:val="none"/>
        </w:rPr>
      </w:pPr>
      <w:r>
        <w:rPr>
          <w:rFonts w:hint="eastAsia" w:ascii="宋体" w:hAnsi="宋体" w:eastAsia="宋体" w:cs="宋体"/>
          <w:color w:val="auto"/>
          <w:kern w:val="0"/>
          <w:szCs w:val="21"/>
          <w:highlight w:val="none"/>
        </w:rPr>
        <w:t>※</w:t>
      </w:r>
      <w:r>
        <w:rPr>
          <w:rFonts w:ascii="宋体" w:hAnsi="宋体" w:eastAsia="宋体" w:cs="宋体"/>
          <w:color w:val="auto"/>
          <w:kern w:val="0"/>
          <w:szCs w:val="21"/>
          <w:highlight w:val="none"/>
        </w:rPr>
        <w:t>注意：</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1、本表应按照下列规定填写：</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1.1“技术和服务要求”项下填写的内容应与招标文件第五章“技术和服务要求”的内容保持一致。</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1.3“是否偏离及说明”项下应按下列规定填写：优于的，填写“正偏离”；符合的，填写“无偏离”；低于的，填写“负偏离”。</w:t>
      </w:r>
    </w:p>
    <w:p>
      <w:pPr>
        <w:widowControl/>
        <w:spacing w:before="75" w:after="75"/>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2、投标人需要说明的内容若需特殊表达，应先在本表中进行相应说明，再另页应答，但应做好标注说明，方便评委查阅评审。未标注说明可能导致的不利的评审后果由投标人自行承担。</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spacing w:line="4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投标人：</w:t>
      </w:r>
      <w:r>
        <w:rPr>
          <w:rFonts w:hint="eastAsia" w:asciiTheme="majorEastAsia" w:hAnsiTheme="majorEastAsia" w:eastAsiaTheme="majorEastAsia" w:cstheme="majorEastAsia"/>
          <w:color w:val="auto"/>
          <w:sz w:val="21"/>
          <w:szCs w:val="21"/>
          <w:highlight w:val="none"/>
          <w:u w:val="single"/>
        </w:rPr>
        <w:t>（全称并加盖单位公章）</w:t>
      </w:r>
    </w:p>
    <w:p>
      <w:pPr>
        <w:pStyle w:val="18"/>
        <w:widowControl/>
        <w:spacing w:line="4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投标人代表签字：</w:t>
      </w:r>
      <w:r>
        <w:rPr>
          <w:rFonts w:hint="eastAsia" w:asciiTheme="majorEastAsia" w:hAnsiTheme="majorEastAsia" w:eastAsiaTheme="majorEastAsia" w:cstheme="majorEastAsia"/>
          <w:color w:val="auto"/>
          <w:sz w:val="21"/>
          <w:szCs w:val="21"/>
          <w:highlight w:val="none"/>
          <w:u w:val="single"/>
        </w:rPr>
        <w:t>        </w:t>
      </w:r>
    </w:p>
    <w:p>
      <w:pPr>
        <w:pStyle w:val="18"/>
        <w:widowControl/>
        <w:spacing w:line="4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日期：</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年</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月</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日</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 </w:t>
      </w:r>
    </w:p>
    <w:p>
      <w:pPr>
        <w:pStyle w:val="18"/>
        <w:widowControl/>
        <w:rPr>
          <w:rFonts w:asciiTheme="majorEastAsia" w:hAnsiTheme="majorEastAsia" w:eastAsiaTheme="majorEastAsia" w:cstheme="majorEastAsia"/>
          <w:color w:val="auto"/>
          <w:sz w:val="21"/>
          <w:szCs w:val="21"/>
          <w:highlight w:val="none"/>
        </w:rPr>
      </w:pPr>
    </w:p>
    <w:p>
      <w:pPr>
        <w:pStyle w:val="18"/>
        <w:widowControl/>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br w:type="textWrapping"/>
      </w:r>
      <w:r>
        <w:rPr>
          <w:rStyle w:val="25"/>
          <w:rFonts w:hint="eastAsia" w:asciiTheme="majorEastAsia" w:hAnsiTheme="majorEastAsia" w:eastAsiaTheme="majorEastAsia" w:cstheme="majorEastAsia"/>
          <w:color w:val="auto"/>
          <w:sz w:val="21"/>
          <w:szCs w:val="21"/>
          <w:highlight w:val="none"/>
        </w:rPr>
        <w:t>三、商务条件响应表</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项目编号：</w:t>
      </w:r>
      <w:r>
        <w:rPr>
          <w:rFonts w:ascii="宋体" w:hAnsi="宋体" w:eastAsia="宋体" w:cs="宋体"/>
          <w:color w:val="auto"/>
          <w:kern w:val="0"/>
          <w:szCs w:val="21"/>
          <w:highlight w:val="none"/>
          <w:u w:val="single"/>
        </w:rPr>
        <w:t>                   </w:t>
      </w:r>
    </w:p>
    <w:tbl>
      <w:tblPr>
        <w:tblStyle w:val="21"/>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采购包</w:t>
            </w:r>
          </w:p>
        </w:tc>
        <w:tc>
          <w:tcPr>
            <w:tcW w:w="85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品目号</w:t>
            </w:r>
          </w:p>
        </w:tc>
        <w:tc>
          <w:tcPr>
            <w:tcW w:w="297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商务条件</w:t>
            </w:r>
          </w:p>
        </w:tc>
        <w:tc>
          <w:tcPr>
            <w:tcW w:w="184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投标响应</w:t>
            </w:r>
          </w:p>
        </w:tc>
        <w:tc>
          <w:tcPr>
            <w:tcW w:w="189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是否偏离及说明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w:t>
            </w: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w:t>
            </w:r>
          </w:p>
        </w:tc>
        <w:tc>
          <w:tcPr>
            <w:tcW w:w="297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84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vMerge w:val="continue"/>
            <w:tcBorders>
              <w:top w:val="nil"/>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highlight w:val="none"/>
              </w:rPr>
            </w:pP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t>…</w:t>
            </w:r>
          </w:p>
        </w:tc>
        <w:tc>
          <w:tcPr>
            <w:tcW w:w="297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84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60"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Calibri" w:hAnsi="Calibri" w:eastAsia="宋体" w:cs="宋体"/>
                <w:color w:val="auto"/>
                <w:kern w:val="0"/>
                <w:szCs w:val="21"/>
                <w:highlight w:val="none"/>
              </w:rPr>
              <w:t>…</w:t>
            </w:r>
          </w:p>
        </w:tc>
        <w:tc>
          <w:tcPr>
            <w:tcW w:w="85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297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84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c>
          <w:tcPr>
            <w:tcW w:w="189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highlight w:val="none"/>
              </w:rPr>
            </w:pPr>
          </w:p>
        </w:tc>
      </w:tr>
    </w:tbl>
    <w:p>
      <w:pPr>
        <w:widowControl/>
        <w:spacing w:before="100" w:beforeAutospacing="1" w:after="100" w:afterAutospacing="1"/>
        <w:jc w:val="left"/>
        <w:rPr>
          <w:rFonts w:ascii="宋体" w:hAnsi="宋体" w:eastAsia="宋体" w:cs="宋体"/>
          <w:color w:val="auto"/>
          <w:kern w:val="0"/>
          <w:sz w:val="24"/>
          <w:szCs w:val="24"/>
          <w:highlight w:val="none"/>
        </w:rPr>
      </w:pPr>
      <w:r>
        <w:rPr>
          <w:rFonts w:hint="eastAsia" w:ascii="宋体" w:hAnsi="宋体" w:eastAsia="宋体" w:cs="宋体"/>
          <w:color w:val="auto"/>
          <w:kern w:val="0"/>
          <w:szCs w:val="21"/>
          <w:highlight w:val="none"/>
        </w:rPr>
        <w:t>※</w:t>
      </w:r>
      <w:r>
        <w:rPr>
          <w:rFonts w:ascii="宋体" w:hAnsi="宋体" w:eastAsia="宋体" w:cs="宋体"/>
          <w:color w:val="auto"/>
          <w:kern w:val="0"/>
          <w:szCs w:val="21"/>
          <w:highlight w:val="none"/>
        </w:rPr>
        <w:t>注意：</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1、本表应按照下列规定填写：</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1.1“商务条件”项下填写的内容应与招标文件第五章“商务条件”的内容保持一致。</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1.2“投标响应”项下应填写具体的响应内容并与“商务条件”项下填写的内容逐项对应；对“商务条件”项下涉及“≥或＞”、“≤或＜”及某个区间值范围内的内容，应填写具体的数值。</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1.3“是否偏离及说明”项下应按下列规定填写：优于的，填写“正偏离”；符合的，填写“无偏离”；低于的，填写“负偏离”。</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2、投标人需要说明的内容若需特殊表达，应先在本表中进行相应说明，再另页应答，但应做好标注说明，方便评委查阅评审。未标注说明可能导致的不利的评审后果由投标人自行承担。</w:t>
      </w:r>
    </w:p>
    <w:p>
      <w:pPr>
        <w:widowControl/>
        <w:spacing w:before="100" w:beforeAutospacing="1" w:after="100" w:afterAutospacing="1"/>
        <w:jc w:val="left"/>
        <w:rPr>
          <w:rFonts w:ascii="宋体" w:hAnsi="宋体" w:eastAsia="宋体" w:cs="宋体"/>
          <w:color w:val="auto"/>
          <w:kern w:val="0"/>
          <w:sz w:val="24"/>
          <w:szCs w:val="24"/>
          <w:highlight w:val="none"/>
        </w:rPr>
      </w:pP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spacing w:line="4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投标人：</w:t>
      </w:r>
      <w:r>
        <w:rPr>
          <w:rFonts w:hint="eastAsia" w:asciiTheme="majorEastAsia" w:hAnsiTheme="majorEastAsia" w:eastAsiaTheme="majorEastAsia" w:cstheme="majorEastAsia"/>
          <w:color w:val="auto"/>
          <w:sz w:val="21"/>
          <w:szCs w:val="21"/>
          <w:highlight w:val="none"/>
          <w:u w:val="single"/>
        </w:rPr>
        <w:t>（全称并加盖单位公章）</w:t>
      </w:r>
    </w:p>
    <w:p>
      <w:pPr>
        <w:pStyle w:val="18"/>
        <w:widowControl/>
        <w:spacing w:line="4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投标人代表签字：</w:t>
      </w:r>
      <w:r>
        <w:rPr>
          <w:rFonts w:hint="eastAsia" w:asciiTheme="majorEastAsia" w:hAnsiTheme="majorEastAsia" w:eastAsiaTheme="majorEastAsia" w:cstheme="majorEastAsia"/>
          <w:color w:val="auto"/>
          <w:sz w:val="21"/>
          <w:szCs w:val="21"/>
          <w:highlight w:val="none"/>
          <w:u w:val="single"/>
        </w:rPr>
        <w:t>        </w:t>
      </w:r>
    </w:p>
    <w:p>
      <w:pPr>
        <w:pStyle w:val="18"/>
        <w:widowControl/>
        <w:spacing w:line="4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日期：</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年</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月</w:t>
      </w:r>
      <w:r>
        <w:rPr>
          <w:rFonts w:hint="eastAsia" w:asciiTheme="majorEastAsia" w:hAnsiTheme="majorEastAsia" w:eastAsiaTheme="majorEastAsia" w:cstheme="majorEastAsia"/>
          <w:color w:val="auto"/>
          <w:sz w:val="21"/>
          <w:szCs w:val="21"/>
          <w:highlight w:val="none"/>
          <w:u w:val="single"/>
        </w:rPr>
        <w:t>   </w:t>
      </w:r>
      <w:r>
        <w:rPr>
          <w:rFonts w:hint="eastAsia" w:asciiTheme="majorEastAsia" w:hAnsiTheme="majorEastAsia" w:eastAsiaTheme="majorEastAsia" w:cstheme="majorEastAsia"/>
          <w:color w:val="auto"/>
          <w:sz w:val="21"/>
          <w:szCs w:val="21"/>
          <w:highlight w:val="none"/>
        </w:rPr>
        <w:t>日</w:t>
      </w:r>
    </w:p>
    <w:p>
      <w:pPr>
        <w:pStyle w:val="18"/>
        <w:widowControl/>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1"/>
          <w:szCs w:val="21"/>
          <w:highlight w:val="none"/>
        </w:rPr>
        <w:t> </w:t>
      </w:r>
    </w:p>
    <w:p>
      <w:pPr>
        <w:pStyle w:val="18"/>
        <w:widowControl/>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 </w:t>
      </w: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pStyle w:val="18"/>
        <w:widowControl/>
        <w:rPr>
          <w:rFonts w:asciiTheme="majorEastAsia" w:hAnsiTheme="majorEastAsia" w:eastAsiaTheme="majorEastAsia" w:cstheme="majorEastAsia"/>
          <w:color w:val="auto"/>
          <w:sz w:val="21"/>
          <w:szCs w:val="21"/>
          <w:highlight w:val="none"/>
        </w:rPr>
      </w:pP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b/>
          <w:bCs/>
          <w:color w:val="auto"/>
          <w:kern w:val="0"/>
          <w:szCs w:val="21"/>
          <w:highlight w:val="none"/>
        </w:rPr>
        <w:t>四、投标人提交的其他资料（若有）</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center"/>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编制说明</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1、招标文件要求提交的除</w:t>
      </w:r>
      <w:r>
        <w:rPr>
          <w:rFonts w:ascii="宋体" w:hAnsi="宋体" w:eastAsia="宋体" w:cs="宋体"/>
          <w:b/>
          <w:bCs/>
          <w:color w:val="auto"/>
          <w:kern w:val="0"/>
          <w:szCs w:val="21"/>
          <w:highlight w:val="none"/>
        </w:rPr>
        <w:t>“资格及资信证明部分”、“报价部分”</w:t>
      </w:r>
      <w:r>
        <w:rPr>
          <w:rFonts w:ascii="宋体" w:hAnsi="宋体" w:eastAsia="宋体" w:cs="宋体"/>
          <w:color w:val="auto"/>
          <w:kern w:val="0"/>
          <w:szCs w:val="21"/>
          <w:highlight w:val="none"/>
        </w:rPr>
        <w:t>外的其他证明材料或资料加盖投标人的单位公章后应在此项下提交。</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2、招标文件要求投标人提供方案（包括但不限于：组织、实施、技术、服务方案等）的，投标人应在此项下提交。</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3、除招标文件另有规定外，投标人认为需要提交的其他证明材料或资料加盖投标人的单位公章后应在此项下提交。</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Cs w:val="21"/>
          <w:highlight w:val="none"/>
        </w:rPr>
        <w:t>   </w:t>
      </w:r>
    </w:p>
    <w:p>
      <w:pPr>
        <w:rPr>
          <w:rFonts w:asciiTheme="majorEastAsia" w:hAnsiTheme="majorEastAsia" w:eastAsiaTheme="majorEastAsia" w:cstheme="majorEastAsia"/>
          <w:color w:val="auto"/>
          <w:highlight w:val="none"/>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dobe 仿宋 Std R">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240" w:lineRule="atLeast"/>
      <w:jc w:val="center"/>
      <w:rPr>
        <w:rFonts w:ascii="宋体"/>
        <w:sz w:val="21"/>
        <w:szCs w:val="21"/>
      </w:rPr>
    </w:pPr>
    <w:r>
      <w:rPr>
        <w:sz w:val="21"/>
      </w:rPr>
      <w:t xml:space="preserve">  </w:t>
    </w:r>
    <w:r>
      <w:rPr>
        <w:rFonts w:hint="eastAsia" w:ascii="宋体" w:hAnsi="宋体"/>
        <w:sz w:val="21"/>
        <w:szCs w:val="21"/>
      </w:rPr>
      <w:t>第</w:t>
    </w:r>
    <w:r>
      <w:rPr>
        <w:rFonts w:ascii="宋体" w:hAnsi="宋体"/>
        <w:sz w:val="21"/>
        <w:szCs w:val="21"/>
      </w:rPr>
      <w:t xml:space="preserve"> </w:t>
    </w:r>
    <w:r>
      <w:rPr>
        <w:rFonts w:ascii="宋体" w:hAnsi="宋体"/>
        <w:sz w:val="21"/>
        <w:szCs w:val="21"/>
      </w:rPr>
      <w:fldChar w:fldCharType="begin"/>
    </w:r>
    <w:r>
      <w:rPr>
        <w:rFonts w:ascii="宋体" w:hAnsi="宋体"/>
        <w:sz w:val="21"/>
        <w:szCs w:val="21"/>
      </w:rPr>
      <w:instrText xml:space="preserve"> PAGE </w:instrText>
    </w:r>
    <w:r>
      <w:rPr>
        <w:rFonts w:ascii="宋体" w:hAnsi="宋体"/>
        <w:sz w:val="21"/>
        <w:szCs w:val="21"/>
      </w:rPr>
      <w:fldChar w:fldCharType="separate"/>
    </w:r>
    <w:r>
      <w:rPr>
        <w:rFonts w:ascii="宋体" w:hAnsi="宋体"/>
        <w:sz w:val="21"/>
        <w:szCs w:val="21"/>
      </w:rPr>
      <w:t>103</w:t>
    </w:r>
    <w:r>
      <w:rPr>
        <w:rFonts w:ascii="宋体" w:hAnsi="宋体"/>
        <w:sz w:val="21"/>
        <w:szCs w:val="21"/>
      </w:rPr>
      <w:fldChar w:fldCharType="end"/>
    </w:r>
    <w:r>
      <w:rPr>
        <w:rFonts w:ascii="宋体" w:hAnsi="宋体"/>
        <w:sz w:val="21"/>
        <w:szCs w:val="21"/>
      </w:rPr>
      <w:t xml:space="preserve"> </w:t>
    </w:r>
    <w:r>
      <w:rPr>
        <w:rFonts w:hint="eastAsia" w:ascii="宋体" w:hAnsi="宋体"/>
        <w:sz w:val="21"/>
        <w:szCs w:val="21"/>
      </w:rPr>
      <w:t>页</w:t>
    </w:r>
    <w:r>
      <w:rPr>
        <w:rFonts w:ascii="宋体" w:hAnsi="宋体"/>
        <w:sz w:val="21"/>
        <w:szCs w:val="21"/>
      </w:rPr>
      <w:t xml:space="preserve"> </w:t>
    </w:r>
    <w:r>
      <w:rPr>
        <w:rFonts w:hint="eastAsia" w:ascii="宋体" w:hAnsi="宋体"/>
        <w:sz w:val="21"/>
        <w:szCs w:val="21"/>
      </w:rPr>
      <w:t>共</w:t>
    </w:r>
    <w:r>
      <w:rPr>
        <w:rFonts w:ascii="宋体" w:hAnsi="宋体"/>
        <w:sz w:val="21"/>
        <w:szCs w:val="21"/>
      </w:rPr>
      <w:t xml:space="preserve"> </w:t>
    </w:r>
    <w:r>
      <w:rPr>
        <w:rFonts w:ascii="宋体" w:hAnsi="宋体"/>
        <w:sz w:val="21"/>
        <w:szCs w:val="21"/>
      </w:rPr>
      <w:fldChar w:fldCharType="begin"/>
    </w:r>
    <w:r>
      <w:rPr>
        <w:rFonts w:ascii="宋体" w:hAnsi="宋体"/>
        <w:sz w:val="21"/>
        <w:szCs w:val="21"/>
      </w:rPr>
      <w:instrText xml:space="preserve"> NUMPAGES </w:instrText>
    </w:r>
    <w:r>
      <w:rPr>
        <w:rFonts w:ascii="宋体" w:hAnsi="宋体"/>
        <w:sz w:val="21"/>
        <w:szCs w:val="21"/>
      </w:rPr>
      <w:fldChar w:fldCharType="separate"/>
    </w:r>
    <w:r>
      <w:rPr>
        <w:rFonts w:ascii="宋体" w:hAnsi="宋体"/>
        <w:sz w:val="21"/>
        <w:szCs w:val="21"/>
      </w:rPr>
      <w:t>108</w:t>
    </w:r>
    <w:r>
      <w:rPr>
        <w:rFonts w:ascii="宋体" w:hAnsi="宋体"/>
        <w:sz w:val="21"/>
        <w:szCs w:val="21"/>
      </w:rPr>
      <w:fldChar w:fldCharType="end"/>
    </w:r>
    <w:r>
      <w:rPr>
        <w:rFonts w:ascii="宋体" w:hAnsi="宋体"/>
        <w:sz w:val="21"/>
        <w:szCs w:val="21"/>
      </w:rPr>
      <w:t xml:space="preserve"> </w:t>
    </w:r>
    <w:r>
      <w:rPr>
        <w:rFonts w:hint="eastAsia" w:ascii="宋体" w:hAnsi="宋体"/>
        <w:sz w:val="21"/>
        <w:szCs w:val="21"/>
      </w:rPr>
      <w:t>页</w:t>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0"/>
        <w:left w:val="none" w:color="auto" w:sz="0" w:space="0"/>
        <w:bottom w:val="none" w:color="auto" w:sz="0" w:space="0"/>
        <w:right w:val="none" w:color="auto" w:sz="0" w:space="0"/>
      </w:pBdr>
      <w:rPr>
        <w:u w:val="single"/>
      </w:rPr>
    </w:pPr>
    <w:r>
      <w:rPr>
        <w:rFonts w:hint="eastAsia"/>
        <w:u w:val="single"/>
      </w:rPr>
      <w:t>招标文件</w:t>
    </w:r>
    <w:r>
      <w:rPr>
        <w:u w:val="single"/>
      </w:rPr>
      <w:t xml:space="preserve">                                                        </w:t>
    </w:r>
    <w:r>
      <w:rPr>
        <w:rFonts w:hint="eastAsia"/>
        <w:u w:val="single"/>
      </w:rPr>
      <w:t>莆田市信成造价咨询有限公司</w:t>
    </w:r>
  </w:p>
  <w:p>
    <w:pPr>
      <w:pStyle w:val="1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decimal"/>
      <w:suff w:val="nothing"/>
      <w:lvlText w:val="%1、"/>
      <w:lvlJc w:val="left"/>
      <w:rPr>
        <w:rFonts w:cs="Times New Roman"/>
      </w:rPr>
    </w:lvl>
  </w:abstractNum>
  <w:abstractNum w:abstractNumId="1">
    <w:nsid w:val="00000004"/>
    <w:multiLevelType w:val="multilevel"/>
    <w:tmpl w:val="00000004"/>
    <w:lvl w:ilvl="0" w:tentative="0">
      <w:start w:val="1"/>
      <w:numFmt w:val="decimalEnclosedCircle"/>
      <w:lvlText w:val="%1"/>
      <w:lvlJc w:val="left"/>
      <w:pPr>
        <w:ind w:left="360" w:hanging="360"/>
      </w:pPr>
      <w:rPr>
        <w:rFonts w:hint="default" w:cs="Times New Roman"/>
        <w:b/>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108DFA91"/>
    <w:multiLevelType w:val="singleLevel"/>
    <w:tmpl w:val="108DFA91"/>
    <w:lvl w:ilvl="0" w:tentative="0">
      <w:start w:val="2"/>
      <w:numFmt w:val="chineseCounting"/>
      <w:suff w:val="nothing"/>
      <w:lvlText w:val="%1、"/>
      <w:lvlJc w:val="left"/>
      <w:rPr>
        <w:rFonts w:hint="eastAsia"/>
      </w:rPr>
    </w:lvl>
  </w:abstractNum>
  <w:abstractNum w:abstractNumId="3">
    <w:nsid w:val="2F4DB6CE"/>
    <w:multiLevelType w:val="singleLevel"/>
    <w:tmpl w:val="2F4DB6CE"/>
    <w:lvl w:ilvl="0" w:tentative="0">
      <w:start w:val="4"/>
      <w:numFmt w:val="chineseCounting"/>
      <w:suff w:val="nothing"/>
      <w:lvlText w:val="（%1）"/>
      <w:lvlJc w:val="left"/>
      <w:rPr>
        <w:rFonts w:hint="eastAsia"/>
      </w:rPr>
    </w:lvl>
  </w:abstractNum>
  <w:abstractNum w:abstractNumId="4">
    <w:nsid w:val="72D935BF"/>
    <w:multiLevelType w:val="singleLevel"/>
    <w:tmpl w:val="72D935BF"/>
    <w:lvl w:ilvl="0" w:tentative="0">
      <w:start w:val="1"/>
      <w:numFmt w:val="lowerLetter"/>
      <w:lvlText w:val="%1."/>
      <w:lvlJc w:val="left"/>
      <w:pPr>
        <w:tabs>
          <w:tab w:val="left" w:pos="312"/>
        </w:tabs>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kY2VmZTUwZmRhY2JmOWM4MzIzNWZmM2RkNmQzMDYifQ=="/>
  </w:docVars>
  <w:rsids>
    <w:rsidRoot w:val="00131D37"/>
    <w:rsid w:val="000323D0"/>
    <w:rsid w:val="000D71A3"/>
    <w:rsid w:val="001034FF"/>
    <w:rsid w:val="00130B85"/>
    <w:rsid w:val="00131D37"/>
    <w:rsid w:val="0020442A"/>
    <w:rsid w:val="00226793"/>
    <w:rsid w:val="00255368"/>
    <w:rsid w:val="0032166C"/>
    <w:rsid w:val="0043053C"/>
    <w:rsid w:val="0045578B"/>
    <w:rsid w:val="004D7C33"/>
    <w:rsid w:val="00561E9A"/>
    <w:rsid w:val="00576511"/>
    <w:rsid w:val="005833E2"/>
    <w:rsid w:val="006A7FFE"/>
    <w:rsid w:val="006F7848"/>
    <w:rsid w:val="007136D1"/>
    <w:rsid w:val="007900F2"/>
    <w:rsid w:val="00885846"/>
    <w:rsid w:val="008D1772"/>
    <w:rsid w:val="008E12E4"/>
    <w:rsid w:val="008E6AC0"/>
    <w:rsid w:val="009222D1"/>
    <w:rsid w:val="00923BF4"/>
    <w:rsid w:val="00924014"/>
    <w:rsid w:val="0097261F"/>
    <w:rsid w:val="009B0D45"/>
    <w:rsid w:val="00A134EA"/>
    <w:rsid w:val="00A45E1A"/>
    <w:rsid w:val="00A67901"/>
    <w:rsid w:val="00A730AA"/>
    <w:rsid w:val="00A974FC"/>
    <w:rsid w:val="00AA3BE8"/>
    <w:rsid w:val="00BF332A"/>
    <w:rsid w:val="00C24598"/>
    <w:rsid w:val="00C435BE"/>
    <w:rsid w:val="00CE20FB"/>
    <w:rsid w:val="00D24998"/>
    <w:rsid w:val="00DB7DC4"/>
    <w:rsid w:val="00DE2A96"/>
    <w:rsid w:val="00E022C6"/>
    <w:rsid w:val="00E26C0E"/>
    <w:rsid w:val="00E75D35"/>
    <w:rsid w:val="00EE1AF8"/>
    <w:rsid w:val="00FF643D"/>
    <w:rsid w:val="01E07700"/>
    <w:rsid w:val="02114710"/>
    <w:rsid w:val="026063D0"/>
    <w:rsid w:val="02975E55"/>
    <w:rsid w:val="02DF1BD7"/>
    <w:rsid w:val="03231C1A"/>
    <w:rsid w:val="038522FB"/>
    <w:rsid w:val="03CF0857"/>
    <w:rsid w:val="03FF71FF"/>
    <w:rsid w:val="040D174A"/>
    <w:rsid w:val="05480237"/>
    <w:rsid w:val="05513C6C"/>
    <w:rsid w:val="05875308"/>
    <w:rsid w:val="05A06538"/>
    <w:rsid w:val="05B02A8D"/>
    <w:rsid w:val="07244EEA"/>
    <w:rsid w:val="079B29D5"/>
    <w:rsid w:val="0A8D6DD4"/>
    <w:rsid w:val="0AB30C08"/>
    <w:rsid w:val="0B1E47D0"/>
    <w:rsid w:val="0B800839"/>
    <w:rsid w:val="0D665A94"/>
    <w:rsid w:val="0D7D5A4D"/>
    <w:rsid w:val="0DB96BB7"/>
    <w:rsid w:val="0F68275F"/>
    <w:rsid w:val="0F7B6128"/>
    <w:rsid w:val="10560258"/>
    <w:rsid w:val="10F94B72"/>
    <w:rsid w:val="113A3AB2"/>
    <w:rsid w:val="114A6898"/>
    <w:rsid w:val="121A5C3E"/>
    <w:rsid w:val="122334F7"/>
    <w:rsid w:val="1234262D"/>
    <w:rsid w:val="129D61E8"/>
    <w:rsid w:val="133F6391"/>
    <w:rsid w:val="13906809"/>
    <w:rsid w:val="147D6926"/>
    <w:rsid w:val="15241A72"/>
    <w:rsid w:val="16AA0BDF"/>
    <w:rsid w:val="16C31C28"/>
    <w:rsid w:val="16F02A29"/>
    <w:rsid w:val="178A4396"/>
    <w:rsid w:val="185724C3"/>
    <w:rsid w:val="18C949E3"/>
    <w:rsid w:val="18F64BCF"/>
    <w:rsid w:val="19935639"/>
    <w:rsid w:val="19CD11F3"/>
    <w:rsid w:val="19CF7B28"/>
    <w:rsid w:val="1A950E37"/>
    <w:rsid w:val="1AC968BC"/>
    <w:rsid w:val="1B5271EC"/>
    <w:rsid w:val="1BA9350B"/>
    <w:rsid w:val="1C3D1211"/>
    <w:rsid w:val="1C9D43AC"/>
    <w:rsid w:val="1E3459B8"/>
    <w:rsid w:val="1E57504A"/>
    <w:rsid w:val="1F932A24"/>
    <w:rsid w:val="1FD20438"/>
    <w:rsid w:val="201507B0"/>
    <w:rsid w:val="20906460"/>
    <w:rsid w:val="20D500D9"/>
    <w:rsid w:val="20F94314"/>
    <w:rsid w:val="20FA27F5"/>
    <w:rsid w:val="21017B37"/>
    <w:rsid w:val="21107608"/>
    <w:rsid w:val="21A21BFA"/>
    <w:rsid w:val="22033982"/>
    <w:rsid w:val="220E23E6"/>
    <w:rsid w:val="223541CC"/>
    <w:rsid w:val="22A63918"/>
    <w:rsid w:val="248222C4"/>
    <w:rsid w:val="24D168CB"/>
    <w:rsid w:val="257E4A5A"/>
    <w:rsid w:val="259F7E84"/>
    <w:rsid w:val="25A85E59"/>
    <w:rsid w:val="277275FF"/>
    <w:rsid w:val="27EF2C7E"/>
    <w:rsid w:val="28DC5586"/>
    <w:rsid w:val="28DF17A9"/>
    <w:rsid w:val="29081E10"/>
    <w:rsid w:val="296042D4"/>
    <w:rsid w:val="298D53DE"/>
    <w:rsid w:val="29FD3F8F"/>
    <w:rsid w:val="2A550C84"/>
    <w:rsid w:val="2A6E6A2E"/>
    <w:rsid w:val="2B4F3775"/>
    <w:rsid w:val="2CB45FFF"/>
    <w:rsid w:val="2D282F4C"/>
    <w:rsid w:val="2DAA7A4E"/>
    <w:rsid w:val="2DF91A6A"/>
    <w:rsid w:val="2E04116B"/>
    <w:rsid w:val="2E3A0CA4"/>
    <w:rsid w:val="2E8D2D65"/>
    <w:rsid w:val="313D1336"/>
    <w:rsid w:val="314236BD"/>
    <w:rsid w:val="31DB4310"/>
    <w:rsid w:val="31DC70EF"/>
    <w:rsid w:val="332B7490"/>
    <w:rsid w:val="33D10B11"/>
    <w:rsid w:val="33EF2366"/>
    <w:rsid w:val="344C38B0"/>
    <w:rsid w:val="345C4460"/>
    <w:rsid w:val="34661131"/>
    <w:rsid w:val="34881A7C"/>
    <w:rsid w:val="34A24FB5"/>
    <w:rsid w:val="34CD2A72"/>
    <w:rsid w:val="34FA4DC2"/>
    <w:rsid w:val="3554227B"/>
    <w:rsid w:val="3579185D"/>
    <w:rsid w:val="35C0022C"/>
    <w:rsid w:val="35C07A4E"/>
    <w:rsid w:val="378013EB"/>
    <w:rsid w:val="37C37E80"/>
    <w:rsid w:val="37F866E3"/>
    <w:rsid w:val="384422C7"/>
    <w:rsid w:val="386E408B"/>
    <w:rsid w:val="389B0845"/>
    <w:rsid w:val="399D5BA3"/>
    <w:rsid w:val="39C4571F"/>
    <w:rsid w:val="3A7C16A5"/>
    <w:rsid w:val="3B38517F"/>
    <w:rsid w:val="3BF00945"/>
    <w:rsid w:val="3D595FAA"/>
    <w:rsid w:val="3D787394"/>
    <w:rsid w:val="3DE54F7F"/>
    <w:rsid w:val="3ECE3E1F"/>
    <w:rsid w:val="3EEF033C"/>
    <w:rsid w:val="3F5341FE"/>
    <w:rsid w:val="3FBE3628"/>
    <w:rsid w:val="3FE97FBE"/>
    <w:rsid w:val="408365FB"/>
    <w:rsid w:val="4092311F"/>
    <w:rsid w:val="40F4229C"/>
    <w:rsid w:val="414746FD"/>
    <w:rsid w:val="415B7C5B"/>
    <w:rsid w:val="41D07716"/>
    <w:rsid w:val="4217368E"/>
    <w:rsid w:val="42CD054E"/>
    <w:rsid w:val="42F30F9F"/>
    <w:rsid w:val="438C79EA"/>
    <w:rsid w:val="441176EC"/>
    <w:rsid w:val="444E73A3"/>
    <w:rsid w:val="44E45ADE"/>
    <w:rsid w:val="46AD7FCC"/>
    <w:rsid w:val="4790179A"/>
    <w:rsid w:val="479C2448"/>
    <w:rsid w:val="487D2327"/>
    <w:rsid w:val="48D333B8"/>
    <w:rsid w:val="495053BA"/>
    <w:rsid w:val="49D6477C"/>
    <w:rsid w:val="49FF5AE0"/>
    <w:rsid w:val="4A2F038B"/>
    <w:rsid w:val="4AB81CBD"/>
    <w:rsid w:val="4AE12FA2"/>
    <w:rsid w:val="4C320D82"/>
    <w:rsid w:val="4C4738FC"/>
    <w:rsid w:val="4D9C02AD"/>
    <w:rsid w:val="4DBB1752"/>
    <w:rsid w:val="4DE6331E"/>
    <w:rsid w:val="4F352A98"/>
    <w:rsid w:val="50036E81"/>
    <w:rsid w:val="50585FE5"/>
    <w:rsid w:val="509167E7"/>
    <w:rsid w:val="514F77D3"/>
    <w:rsid w:val="516B1C45"/>
    <w:rsid w:val="52443EA6"/>
    <w:rsid w:val="526108A7"/>
    <w:rsid w:val="5265577C"/>
    <w:rsid w:val="549C7F57"/>
    <w:rsid w:val="55D02D79"/>
    <w:rsid w:val="56113878"/>
    <w:rsid w:val="57F81C76"/>
    <w:rsid w:val="58032FD6"/>
    <w:rsid w:val="582572CC"/>
    <w:rsid w:val="58BD703F"/>
    <w:rsid w:val="58C84833"/>
    <w:rsid w:val="590C4189"/>
    <w:rsid w:val="5B3811D2"/>
    <w:rsid w:val="5B7A2728"/>
    <w:rsid w:val="5BF5015D"/>
    <w:rsid w:val="5C840CC0"/>
    <w:rsid w:val="5D037980"/>
    <w:rsid w:val="5DBC3248"/>
    <w:rsid w:val="5E4B45FA"/>
    <w:rsid w:val="5E8F47AA"/>
    <w:rsid w:val="5ED10663"/>
    <w:rsid w:val="5EE85056"/>
    <w:rsid w:val="5F093B30"/>
    <w:rsid w:val="5F290585"/>
    <w:rsid w:val="5F465C37"/>
    <w:rsid w:val="5FA04D35"/>
    <w:rsid w:val="60CA2299"/>
    <w:rsid w:val="60D21119"/>
    <w:rsid w:val="60D54722"/>
    <w:rsid w:val="613130B8"/>
    <w:rsid w:val="61A32892"/>
    <w:rsid w:val="62810010"/>
    <w:rsid w:val="628A54D9"/>
    <w:rsid w:val="62D53F9D"/>
    <w:rsid w:val="633C77E4"/>
    <w:rsid w:val="6368403D"/>
    <w:rsid w:val="63D261E5"/>
    <w:rsid w:val="640C0814"/>
    <w:rsid w:val="64926BCA"/>
    <w:rsid w:val="65755E5E"/>
    <w:rsid w:val="657A046B"/>
    <w:rsid w:val="65C467E5"/>
    <w:rsid w:val="66E77160"/>
    <w:rsid w:val="67172D8A"/>
    <w:rsid w:val="67544317"/>
    <w:rsid w:val="67C70436"/>
    <w:rsid w:val="67F5092F"/>
    <w:rsid w:val="6827076B"/>
    <w:rsid w:val="682D56F6"/>
    <w:rsid w:val="68A63209"/>
    <w:rsid w:val="6AAA2077"/>
    <w:rsid w:val="6ADC3CDC"/>
    <w:rsid w:val="6B880C62"/>
    <w:rsid w:val="6BC42FB3"/>
    <w:rsid w:val="6BFF0D9C"/>
    <w:rsid w:val="6C034C62"/>
    <w:rsid w:val="6CF40DE6"/>
    <w:rsid w:val="6D426B21"/>
    <w:rsid w:val="6D7451C8"/>
    <w:rsid w:val="6E833B57"/>
    <w:rsid w:val="6EFF72D3"/>
    <w:rsid w:val="6F0A2CCA"/>
    <w:rsid w:val="6F674CA6"/>
    <w:rsid w:val="70067A25"/>
    <w:rsid w:val="700D0BD5"/>
    <w:rsid w:val="70B80970"/>
    <w:rsid w:val="70DB392B"/>
    <w:rsid w:val="71E04B9A"/>
    <w:rsid w:val="72C57698"/>
    <w:rsid w:val="72F55295"/>
    <w:rsid w:val="737814C4"/>
    <w:rsid w:val="740337EF"/>
    <w:rsid w:val="746547B6"/>
    <w:rsid w:val="75005DA1"/>
    <w:rsid w:val="754E29FE"/>
    <w:rsid w:val="75D00B0D"/>
    <w:rsid w:val="75FB3967"/>
    <w:rsid w:val="763E192F"/>
    <w:rsid w:val="764C5480"/>
    <w:rsid w:val="773D49F2"/>
    <w:rsid w:val="77DF388C"/>
    <w:rsid w:val="78142F71"/>
    <w:rsid w:val="798C37D7"/>
    <w:rsid w:val="79E72193"/>
    <w:rsid w:val="7A942596"/>
    <w:rsid w:val="7AF5460A"/>
    <w:rsid w:val="7B4E3F9F"/>
    <w:rsid w:val="7B8E304D"/>
    <w:rsid w:val="7B8F58E5"/>
    <w:rsid w:val="7BC75117"/>
    <w:rsid w:val="7BC93D3F"/>
    <w:rsid w:val="7D02418A"/>
    <w:rsid w:val="7E4933EB"/>
    <w:rsid w:val="7ED2539F"/>
    <w:rsid w:val="7F197FCF"/>
    <w:rsid w:val="7F3F653C"/>
    <w:rsid w:val="7FE57CB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99"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99" w:semiHidden="0" w:name="HTML Cite"/>
    <w:lsdException w:uiPriority="99" w:name="HTML Code"/>
    <w:lsdException w:qFormat="1" w:unhideWhenUsed="0" w:uiPriority="99" w:semiHidden="0"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0"/>
    <w:qFormat/>
    <w:uiPriority w:val="99"/>
    <w:pPr>
      <w:spacing w:beforeAutospacing="1" w:afterAutospacing="1"/>
      <w:jc w:val="left"/>
      <w:outlineLvl w:val="0"/>
    </w:pPr>
    <w:rPr>
      <w:b/>
      <w:bCs/>
      <w:kern w:val="44"/>
      <w:sz w:val="44"/>
      <w:szCs w:val="44"/>
    </w:rPr>
  </w:style>
  <w:style w:type="paragraph" w:styleId="4">
    <w:name w:val="heading 2"/>
    <w:basedOn w:val="1"/>
    <w:next w:val="1"/>
    <w:unhideWhenUsed/>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styleId="5">
    <w:name w:val="heading 3"/>
    <w:basedOn w:val="1"/>
    <w:next w:val="1"/>
    <w:link w:val="39"/>
    <w:qFormat/>
    <w:uiPriority w:val="99"/>
    <w:pPr>
      <w:spacing w:before="100" w:beforeAutospacing="1" w:after="100" w:afterAutospacing="1"/>
      <w:jc w:val="left"/>
      <w:outlineLvl w:val="2"/>
    </w:pPr>
    <w:rPr>
      <w:b/>
      <w:bCs/>
      <w:kern w:val="0"/>
      <w:sz w:val="32"/>
      <w:szCs w:val="32"/>
    </w:rPr>
  </w:style>
  <w:style w:type="character" w:default="1" w:styleId="24">
    <w:name w:val="Default Paragraph Font"/>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beforeLines="0" w:after="60" w:afterLines="0" w:line="360" w:lineRule="auto"/>
      <w:jc w:val="center"/>
      <w:outlineLvl w:val="0"/>
    </w:pPr>
    <w:rPr>
      <w:rFonts w:ascii="Cambria" w:hAnsi="Cambria"/>
      <w:b/>
      <w:bCs/>
      <w:kern w:val="0"/>
      <w:sz w:val="32"/>
      <w:szCs w:val="32"/>
    </w:rPr>
  </w:style>
  <w:style w:type="paragraph" w:styleId="6">
    <w:name w:val="Normal Indent"/>
    <w:basedOn w:val="1"/>
    <w:next w:val="1"/>
    <w:qFormat/>
    <w:uiPriority w:val="99"/>
    <w:pPr>
      <w:ind w:firstLine="420"/>
    </w:pPr>
  </w:style>
  <w:style w:type="paragraph" w:styleId="7">
    <w:name w:val="annotation text"/>
    <w:basedOn w:val="1"/>
    <w:link w:val="40"/>
    <w:qFormat/>
    <w:uiPriority w:val="99"/>
    <w:pPr>
      <w:jc w:val="left"/>
    </w:pPr>
    <w:rPr>
      <w:kern w:val="0"/>
      <w:sz w:val="24"/>
    </w:rPr>
  </w:style>
  <w:style w:type="paragraph" w:styleId="8">
    <w:name w:val="Body Text"/>
    <w:basedOn w:val="1"/>
    <w:next w:val="1"/>
    <w:link w:val="41"/>
    <w:qFormat/>
    <w:uiPriority w:val="99"/>
    <w:pPr>
      <w:spacing w:line="360" w:lineRule="auto"/>
    </w:pPr>
    <w:rPr>
      <w:kern w:val="0"/>
      <w:sz w:val="24"/>
    </w:rPr>
  </w:style>
  <w:style w:type="paragraph" w:styleId="9">
    <w:name w:val="Body Text Indent"/>
    <w:basedOn w:val="1"/>
    <w:link w:val="42"/>
    <w:qFormat/>
    <w:uiPriority w:val="99"/>
    <w:pPr>
      <w:ind w:left="420"/>
    </w:pPr>
    <w:rPr>
      <w:kern w:val="0"/>
      <w:sz w:val="24"/>
    </w:rPr>
  </w:style>
  <w:style w:type="paragraph" w:styleId="10">
    <w:name w:val="Plain Text"/>
    <w:basedOn w:val="1"/>
    <w:link w:val="43"/>
    <w:qFormat/>
    <w:uiPriority w:val="99"/>
    <w:rPr>
      <w:rFonts w:ascii="宋体" w:hAnsi="Courier New"/>
      <w:kern w:val="0"/>
      <w:szCs w:val="21"/>
    </w:rPr>
  </w:style>
  <w:style w:type="paragraph" w:styleId="11">
    <w:name w:val="Date"/>
    <w:basedOn w:val="1"/>
    <w:next w:val="1"/>
    <w:qFormat/>
    <w:uiPriority w:val="0"/>
    <w:rPr>
      <w:sz w:val="28"/>
      <w:szCs w:val="20"/>
    </w:rPr>
  </w:style>
  <w:style w:type="paragraph" w:styleId="12">
    <w:name w:val="Body Text Indent 2"/>
    <w:basedOn w:val="1"/>
    <w:link w:val="44"/>
    <w:qFormat/>
    <w:uiPriority w:val="99"/>
    <w:pPr>
      <w:spacing w:line="360" w:lineRule="auto"/>
      <w:ind w:firstLine="507" w:firstLineChars="200"/>
    </w:pPr>
    <w:rPr>
      <w:kern w:val="0"/>
      <w:sz w:val="24"/>
    </w:rPr>
  </w:style>
  <w:style w:type="paragraph" w:styleId="13">
    <w:name w:val="Balloon Text"/>
    <w:basedOn w:val="1"/>
    <w:link w:val="65"/>
    <w:qFormat/>
    <w:uiPriority w:val="99"/>
    <w:rPr>
      <w:kern w:val="0"/>
      <w:sz w:val="2"/>
      <w:szCs w:val="20"/>
    </w:rPr>
  </w:style>
  <w:style w:type="paragraph" w:styleId="14">
    <w:name w:val="footer"/>
    <w:basedOn w:val="1"/>
    <w:link w:val="45"/>
    <w:qFormat/>
    <w:uiPriority w:val="99"/>
    <w:pPr>
      <w:tabs>
        <w:tab w:val="center" w:pos="4153"/>
        <w:tab w:val="right" w:pos="8306"/>
      </w:tabs>
      <w:snapToGrid w:val="0"/>
      <w:jc w:val="left"/>
    </w:pPr>
    <w:rPr>
      <w:kern w:val="0"/>
      <w:sz w:val="18"/>
      <w:szCs w:val="18"/>
    </w:rPr>
  </w:style>
  <w:style w:type="paragraph" w:styleId="15">
    <w:name w:val="header"/>
    <w:basedOn w:val="1"/>
    <w:next w:val="1"/>
    <w:link w:val="4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szCs w:val="18"/>
    </w:rPr>
  </w:style>
  <w:style w:type="paragraph" w:styleId="16">
    <w:name w:val="toc 1"/>
    <w:basedOn w:val="1"/>
    <w:next w:val="1"/>
    <w:qFormat/>
    <w:uiPriority w:val="99"/>
    <w:pPr>
      <w:tabs>
        <w:tab w:val="right" w:leader="dot" w:pos="8296"/>
      </w:tabs>
      <w:spacing w:line="480" w:lineRule="exact"/>
      <w:jc w:val="center"/>
    </w:pPr>
    <w:rPr>
      <w:rFonts w:ascii="宋体" w:hAnsi="宋体"/>
      <w:b/>
      <w:sz w:val="30"/>
      <w:szCs w:val="30"/>
    </w:rPr>
  </w:style>
  <w:style w:type="paragraph" w:styleId="17">
    <w:name w:val="toc 2"/>
    <w:basedOn w:val="1"/>
    <w:next w:val="1"/>
    <w:qFormat/>
    <w:uiPriority w:val="99"/>
    <w:pPr>
      <w:ind w:left="420" w:leftChars="200"/>
    </w:pPr>
  </w:style>
  <w:style w:type="paragraph" w:styleId="18">
    <w:name w:val="Normal (Web)"/>
    <w:basedOn w:val="1"/>
    <w:qFormat/>
    <w:uiPriority w:val="0"/>
    <w:pPr>
      <w:spacing w:line="300" w:lineRule="auto"/>
    </w:pPr>
    <w:rPr>
      <w:sz w:val="24"/>
    </w:rPr>
  </w:style>
  <w:style w:type="paragraph" w:styleId="19">
    <w:name w:val="Body Text First Indent"/>
    <w:basedOn w:val="8"/>
    <w:link w:val="47"/>
    <w:qFormat/>
    <w:uiPriority w:val="99"/>
    <w:pPr>
      <w:ind w:firstLine="420" w:firstLineChars="100"/>
    </w:pPr>
    <w:rPr>
      <w:bCs/>
    </w:rPr>
  </w:style>
  <w:style w:type="paragraph" w:styleId="20">
    <w:name w:val="Body Text First Indent 2"/>
    <w:basedOn w:val="9"/>
    <w:link w:val="48"/>
    <w:qFormat/>
    <w:uiPriority w:val="99"/>
    <w:pPr>
      <w:spacing w:after="120"/>
      <w:ind w:left="200" w:leftChars="200" w:firstLine="420" w:firstLineChars="200"/>
    </w:pPr>
  </w:style>
  <w:style w:type="table" w:styleId="22">
    <w:name w:val="Table Grid"/>
    <w:basedOn w:val="2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3">
    <w:name w:val="Table Elegant"/>
    <w:basedOn w:val="21"/>
    <w:qFormat/>
    <w:uiPriority w:val="0"/>
    <w:pPr>
      <w:widowControl w:val="0"/>
      <w:jc w:val="center"/>
    </w:pPr>
    <w:rPr>
      <w:sz w:val="21"/>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FFFFFF"/>
      <w:vAlign w:val="center"/>
    </w:tcPr>
    <w:tblStylePr w:type="firstRow">
      <w:rPr>
        <w:caps/>
        <w:color w:val="auto"/>
      </w:rPr>
      <w:tblPr/>
      <w:tcPr>
        <w:shd w:val="clear" w:color="auto" w:fill="BFBFBF"/>
      </w:tcPr>
    </w:tblStylePr>
    <w:tblStylePr w:type="lastRow">
      <w:tcPr>
        <w:shd w:val="clear" w:color="auto" w:fill="FFFFFF"/>
      </w:tcPr>
    </w:tblStylePr>
    <w:tblStylePr w:type="band1Horz">
      <w:tcPr>
        <w:shd w:val="clear" w:color="auto" w:fill="FFFFFF"/>
      </w:tcPr>
    </w:tblStylePr>
  </w:style>
  <w:style w:type="character" w:styleId="25">
    <w:name w:val="Strong"/>
    <w:basedOn w:val="24"/>
    <w:qFormat/>
    <w:uiPriority w:val="99"/>
    <w:rPr>
      <w:rFonts w:cs="Times New Roman"/>
      <w:b/>
    </w:rPr>
  </w:style>
  <w:style w:type="character" w:styleId="26">
    <w:name w:val="page number"/>
    <w:qFormat/>
    <w:uiPriority w:val="99"/>
    <w:rPr>
      <w:rFonts w:cs="Times New Roman"/>
    </w:rPr>
  </w:style>
  <w:style w:type="character" w:styleId="27">
    <w:name w:val="FollowedHyperlink"/>
    <w:qFormat/>
    <w:uiPriority w:val="99"/>
    <w:rPr>
      <w:rFonts w:cs="Times New Roman"/>
      <w:color w:val="3366CC"/>
      <w:u w:val="none"/>
    </w:rPr>
  </w:style>
  <w:style w:type="character" w:styleId="28">
    <w:name w:val="Emphasis"/>
    <w:qFormat/>
    <w:uiPriority w:val="99"/>
    <w:rPr>
      <w:rFonts w:cs="Times New Roman"/>
      <w:color w:val="CC0000"/>
    </w:rPr>
  </w:style>
  <w:style w:type="character" w:styleId="29">
    <w:name w:val="HTML Definition"/>
    <w:qFormat/>
    <w:uiPriority w:val="99"/>
    <w:rPr>
      <w:rFonts w:cs="Times New Roman"/>
      <w:i/>
    </w:rPr>
  </w:style>
  <w:style w:type="character" w:styleId="30">
    <w:name w:val="Hyperlink"/>
    <w:qFormat/>
    <w:uiPriority w:val="99"/>
    <w:rPr>
      <w:rFonts w:cs="Times New Roman"/>
      <w:color w:val="000000"/>
      <w:u w:val="none"/>
    </w:rPr>
  </w:style>
  <w:style w:type="character" w:styleId="31">
    <w:name w:val="annotation reference"/>
    <w:qFormat/>
    <w:uiPriority w:val="99"/>
    <w:rPr>
      <w:rFonts w:cs="Times New Roman"/>
      <w:sz w:val="21"/>
      <w:szCs w:val="21"/>
    </w:rPr>
  </w:style>
  <w:style w:type="character" w:styleId="32">
    <w:name w:val="HTML Cite"/>
    <w:qFormat/>
    <w:uiPriority w:val="99"/>
    <w:rPr>
      <w:rFonts w:cs="Times New Roman"/>
      <w:color w:val="008000"/>
    </w:rPr>
  </w:style>
  <w:style w:type="paragraph" w:customStyle="1" w:styleId="33">
    <w:name w:val="表格文字"/>
    <w:basedOn w:val="1"/>
    <w:next w:val="8"/>
    <w:qFormat/>
    <w:uiPriority w:val="99"/>
    <w:pPr>
      <w:adjustRightInd w:val="0"/>
      <w:spacing w:line="420" w:lineRule="atLeast"/>
      <w:jc w:val="left"/>
      <w:textAlignment w:val="baseline"/>
    </w:pPr>
    <w:rPr>
      <w:kern w:val="0"/>
      <w:szCs w:val="20"/>
    </w:rPr>
  </w:style>
  <w:style w:type="paragraph" w:customStyle="1" w:styleId="34">
    <w:name w:val="Char1"/>
    <w:basedOn w:val="1"/>
    <w:qFormat/>
    <w:uiPriority w:val="0"/>
    <w:pPr>
      <w:widowControl/>
      <w:suppressAutoHyphens/>
      <w:spacing w:after="160" w:line="240" w:lineRule="exact"/>
      <w:jc w:val="left"/>
    </w:pPr>
    <w:rPr>
      <w:rFonts w:ascii="Verdana" w:hAnsi="Verdana" w:eastAsia="Times New Roman"/>
      <w:kern w:val="0"/>
      <w:sz w:val="20"/>
      <w:szCs w:val="20"/>
      <w:lang w:eastAsia="en-US"/>
    </w:rPr>
  </w:style>
  <w:style w:type="paragraph" w:customStyle="1" w:styleId="35">
    <w:name w:val="Char"/>
    <w:basedOn w:val="1"/>
    <w:qFormat/>
    <w:uiPriority w:val="0"/>
    <w:rPr>
      <w:rFonts w:ascii="Tahoma" w:hAnsi="Tahoma"/>
      <w:sz w:val="24"/>
      <w:szCs w:val="20"/>
    </w:rPr>
  </w:style>
  <w:style w:type="paragraph" w:customStyle="1" w:styleId="36">
    <w:name w:val="_Style 3"/>
    <w:basedOn w:val="1"/>
    <w:qFormat/>
    <w:uiPriority w:val="0"/>
    <w:pPr>
      <w:spacing w:line="240" w:lineRule="atLeast"/>
      <w:ind w:left="420" w:firstLine="420"/>
    </w:pPr>
    <w:rPr>
      <w:rFonts w:ascii="Calibri" w:hAnsi="Calibri"/>
    </w:rPr>
  </w:style>
  <w:style w:type="paragraph" w:customStyle="1" w:styleId="37">
    <w:name w:val="Fließtext"/>
    <w:basedOn w:val="1"/>
    <w:qFormat/>
    <w:uiPriority w:val="0"/>
    <w:pPr>
      <w:overflowPunct w:val="0"/>
      <w:autoSpaceDE w:val="0"/>
      <w:autoSpaceDN w:val="0"/>
      <w:adjustRightInd w:val="0"/>
      <w:textAlignment w:val="baseline"/>
    </w:pPr>
    <w:rPr>
      <w:kern w:val="28"/>
      <w:szCs w:val="20"/>
    </w:rPr>
  </w:style>
  <w:style w:type="character" w:customStyle="1" w:styleId="38">
    <w:name w:val="标题 1 字符"/>
    <w:qFormat/>
    <w:uiPriority w:val="99"/>
    <w:rPr>
      <w:rFonts w:cs="Times New Roman"/>
      <w:b/>
      <w:bCs/>
      <w:kern w:val="44"/>
      <w:sz w:val="44"/>
      <w:szCs w:val="44"/>
    </w:rPr>
  </w:style>
  <w:style w:type="character" w:customStyle="1" w:styleId="39">
    <w:name w:val="标题 3 Char"/>
    <w:link w:val="5"/>
    <w:qFormat/>
    <w:uiPriority w:val="99"/>
    <w:rPr>
      <w:rFonts w:cs="Times New Roman"/>
      <w:b/>
      <w:bCs/>
      <w:sz w:val="32"/>
      <w:szCs w:val="32"/>
    </w:rPr>
  </w:style>
  <w:style w:type="character" w:customStyle="1" w:styleId="40">
    <w:name w:val="批注文字 Char"/>
    <w:link w:val="7"/>
    <w:qFormat/>
    <w:uiPriority w:val="99"/>
    <w:rPr>
      <w:rFonts w:cs="Times New Roman"/>
      <w:sz w:val="24"/>
      <w:szCs w:val="24"/>
    </w:rPr>
  </w:style>
  <w:style w:type="character" w:customStyle="1" w:styleId="41">
    <w:name w:val="正文文本 Char"/>
    <w:link w:val="8"/>
    <w:qFormat/>
    <w:uiPriority w:val="99"/>
    <w:rPr>
      <w:rFonts w:cs="Times New Roman"/>
      <w:sz w:val="24"/>
      <w:szCs w:val="24"/>
    </w:rPr>
  </w:style>
  <w:style w:type="character" w:customStyle="1" w:styleId="42">
    <w:name w:val="正文文本缩进 Char"/>
    <w:link w:val="9"/>
    <w:qFormat/>
    <w:uiPriority w:val="99"/>
    <w:rPr>
      <w:rFonts w:cs="Times New Roman"/>
      <w:sz w:val="24"/>
      <w:szCs w:val="24"/>
    </w:rPr>
  </w:style>
  <w:style w:type="character" w:customStyle="1" w:styleId="43">
    <w:name w:val="纯文本 Char"/>
    <w:link w:val="10"/>
    <w:qFormat/>
    <w:uiPriority w:val="99"/>
    <w:rPr>
      <w:rFonts w:ascii="宋体" w:hAnsi="Courier New" w:cs="Courier New"/>
      <w:sz w:val="21"/>
      <w:szCs w:val="21"/>
    </w:rPr>
  </w:style>
  <w:style w:type="character" w:customStyle="1" w:styleId="44">
    <w:name w:val="正文文本缩进 2 Char"/>
    <w:link w:val="12"/>
    <w:qFormat/>
    <w:uiPriority w:val="99"/>
    <w:rPr>
      <w:rFonts w:cs="Times New Roman"/>
      <w:sz w:val="24"/>
      <w:szCs w:val="24"/>
    </w:rPr>
  </w:style>
  <w:style w:type="character" w:customStyle="1" w:styleId="45">
    <w:name w:val="页脚 Char"/>
    <w:link w:val="14"/>
    <w:qFormat/>
    <w:uiPriority w:val="99"/>
    <w:rPr>
      <w:rFonts w:cs="Times New Roman"/>
      <w:sz w:val="18"/>
      <w:szCs w:val="18"/>
    </w:rPr>
  </w:style>
  <w:style w:type="character" w:customStyle="1" w:styleId="46">
    <w:name w:val="页眉 Char"/>
    <w:link w:val="15"/>
    <w:qFormat/>
    <w:uiPriority w:val="99"/>
    <w:rPr>
      <w:rFonts w:cs="Times New Roman"/>
      <w:sz w:val="18"/>
      <w:szCs w:val="18"/>
    </w:rPr>
  </w:style>
  <w:style w:type="character" w:customStyle="1" w:styleId="47">
    <w:name w:val="正文首行缩进 Char"/>
    <w:link w:val="19"/>
    <w:qFormat/>
    <w:uiPriority w:val="99"/>
    <w:rPr>
      <w:rFonts w:cs="Times New Roman"/>
      <w:sz w:val="24"/>
      <w:szCs w:val="24"/>
    </w:rPr>
  </w:style>
  <w:style w:type="character" w:customStyle="1" w:styleId="48">
    <w:name w:val="正文首行缩进 2 Char"/>
    <w:link w:val="20"/>
    <w:qFormat/>
    <w:uiPriority w:val="99"/>
    <w:rPr>
      <w:rFonts w:cs="Times New Roman"/>
      <w:sz w:val="24"/>
      <w:szCs w:val="24"/>
    </w:rPr>
  </w:style>
  <w:style w:type="paragraph" w:customStyle="1" w:styleId="49">
    <w:name w:val="Char Char Char Char"/>
    <w:basedOn w:val="1"/>
    <w:qFormat/>
    <w:uiPriority w:val="99"/>
    <w:rPr>
      <w:rFonts w:ascii="Tahoma" w:hAnsi="Tahoma"/>
      <w:sz w:val="24"/>
      <w:szCs w:val="20"/>
    </w:rPr>
  </w:style>
  <w:style w:type="paragraph" w:customStyle="1" w:styleId="50">
    <w:name w:val="正文1"/>
    <w:qFormat/>
    <w:uiPriority w:val="99"/>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 w:type="paragraph" w:customStyle="1" w:styleId="51">
    <w:name w:val="样式3"/>
    <w:basedOn w:val="10"/>
    <w:qFormat/>
    <w:uiPriority w:val="99"/>
    <w:pPr>
      <w:spacing w:line="240" w:lineRule="atLeast"/>
      <w:outlineLvl w:val="0"/>
    </w:pPr>
    <w:rPr>
      <w:sz w:val="28"/>
      <w:szCs w:val="20"/>
    </w:rPr>
  </w:style>
  <w:style w:type="paragraph" w:customStyle="1" w:styleId="52">
    <w:name w:val="Default"/>
    <w:qFormat/>
    <w:uiPriority w:val="99"/>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3">
    <w:name w:val="c-icon"/>
    <w:qFormat/>
    <w:uiPriority w:val="99"/>
    <w:rPr>
      <w:rFonts w:cs="Times New Roman"/>
    </w:rPr>
  </w:style>
  <w:style w:type="character" w:customStyle="1" w:styleId="54">
    <w:name w:val="input_span1"/>
    <w:qFormat/>
    <w:uiPriority w:val="99"/>
    <w:rPr>
      <w:rFonts w:cs="Times New Roman"/>
      <w:bdr w:val="single" w:color="9B9B9B" w:sz="6" w:space="0"/>
    </w:rPr>
  </w:style>
  <w:style w:type="character" w:customStyle="1" w:styleId="55">
    <w:name w:val="col3"/>
    <w:qFormat/>
    <w:uiPriority w:val="99"/>
    <w:rPr>
      <w:rFonts w:cs="Times New Roman"/>
    </w:rPr>
  </w:style>
  <w:style w:type="character" w:customStyle="1" w:styleId="56">
    <w:name w:val="inputhighlight"/>
    <w:qFormat/>
    <w:uiPriority w:val="99"/>
    <w:rPr>
      <w:rFonts w:cs="Times New Roman"/>
    </w:rPr>
  </w:style>
  <w:style w:type="character" w:customStyle="1" w:styleId="57">
    <w:name w:val="col1"/>
    <w:qFormat/>
    <w:uiPriority w:val="99"/>
    <w:rPr>
      <w:rFonts w:cs="Times New Roman"/>
    </w:rPr>
  </w:style>
  <w:style w:type="character" w:customStyle="1" w:styleId="58">
    <w:name w:val="remainvalue"/>
    <w:qFormat/>
    <w:uiPriority w:val="99"/>
    <w:rPr>
      <w:rFonts w:ascii="微软雅黑" w:hAnsi="微软雅黑" w:eastAsia="微软雅黑" w:cs="微软雅黑"/>
      <w:b/>
      <w:color w:val="FF0000"/>
      <w:sz w:val="30"/>
      <w:szCs w:val="30"/>
    </w:rPr>
  </w:style>
  <w:style w:type="character" w:customStyle="1" w:styleId="59">
    <w:name w:val="gjfg"/>
    <w:qFormat/>
    <w:uiPriority w:val="99"/>
    <w:rPr>
      <w:rFonts w:cs="Times New Roman"/>
    </w:rPr>
  </w:style>
  <w:style w:type="character" w:customStyle="1" w:styleId="60">
    <w:name w:val="redfilefwwh"/>
    <w:qFormat/>
    <w:uiPriority w:val="99"/>
    <w:rPr>
      <w:rFonts w:cs="Times New Roman"/>
      <w:color w:val="BA2636"/>
      <w:sz w:val="18"/>
      <w:szCs w:val="18"/>
    </w:rPr>
  </w:style>
  <w:style w:type="character" w:customStyle="1" w:styleId="61">
    <w:name w:val="redfilenumber"/>
    <w:qFormat/>
    <w:uiPriority w:val="99"/>
    <w:rPr>
      <w:rFonts w:cs="Times New Roman"/>
      <w:color w:val="BA2636"/>
      <w:sz w:val="18"/>
      <w:szCs w:val="18"/>
    </w:rPr>
  </w:style>
  <w:style w:type="character" w:customStyle="1" w:styleId="62">
    <w:name w:val="qxdate"/>
    <w:qFormat/>
    <w:uiPriority w:val="99"/>
    <w:rPr>
      <w:rFonts w:cs="Times New Roman"/>
      <w:color w:val="333333"/>
      <w:sz w:val="18"/>
      <w:szCs w:val="18"/>
    </w:rPr>
  </w:style>
  <w:style w:type="character" w:customStyle="1" w:styleId="63">
    <w:name w:val="displayarti"/>
    <w:qFormat/>
    <w:uiPriority w:val="99"/>
    <w:rPr>
      <w:rFonts w:cs="Times New Roman"/>
      <w:color w:val="FFFFFF"/>
      <w:shd w:val="clear" w:color="auto" w:fill="A00000"/>
    </w:rPr>
  </w:style>
  <w:style w:type="character" w:customStyle="1" w:styleId="64">
    <w:name w:val="cfdate"/>
    <w:qFormat/>
    <w:uiPriority w:val="99"/>
    <w:rPr>
      <w:rFonts w:cs="Times New Roman"/>
      <w:color w:val="333333"/>
      <w:sz w:val="18"/>
      <w:szCs w:val="18"/>
    </w:rPr>
  </w:style>
  <w:style w:type="character" w:customStyle="1" w:styleId="65">
    <w:name w:val="批注框文本 Char"/>
    <w:link w:val="13"/>
    <w:qFormat/>
    <w:uiPriority w:val="99"/>
    <w:rPr>
      <w:rFonts w:cs="Times New Roman"/>
      <w:sz w:val="2"/>
    </w:rPr>
  </w:style>
  <w:style w:type="paragraph" w:customStyle="1" w:styleId="66">
    <w:name w:val="1正文-lcx"/>
    <w:basedOn w:val="1"/>
    <w:qFormat/>
    <w:uiPriority w:val="0"/>
    <w:pPr>
      <w:spacing w:line="480" w:lineRule="exact"/>
      <w:ind w:firstLine="200"/>
    </w:pPr>
    <w:rPr>
      <w:sz w:val="28"/>
      <w:szCs w:val="28"/>
    </w:rPr>
  </w:style>
  <w:style w:type="paragraph" w:customStyle="1" w:styleId="67">
    <w:name w:val="列出段落1"/>
    <w:basedOn w:val="1"/>
    <w:qFormat/>
    <w:uiPriority w:val="0"/>
    <w:pPr>
      <w:ind w:firstLine="420" w:firstLineChars="200"/>
    </w:pPr>
  </w:style>
  <w:style w:type="paragraph" w:styleId="68">
    <w:name w:val="No Spacing"/>
    <w:qFormat/>
    <w:uiPriority w:val="1"/>
    <w:pPr>
      <w:widowControl w:val="0"/>
      <w:pBdr>
        <w:top w:val="none" w:color="000000" w:sz="0" w:space="0"/>
        <w:left w:val="none" w:color="000000" w:sz="0" w:space="0"/>
        <w:bottom w:val="none" w:color="000000" w:sz="0" w:space="0"/>
        <w:right w:val="none" w:color="000000" w:sz="0" w:space="0"/>
        <w:between w:val="none" w:color="000000" w:sz="0" w:space="0"/>
      </w:pBdr>
      <w:jc w:val="both"/>
    </w:pPr>
    <w:rPr>
      <w:rFonts w:ascii="Times New Roman" w:hAnsi="Times New Roman" w:eastAsia="宋体" w:cs="Times New Roman"/>
      <w:kern w:val="1"/>
      <w:sz w:val="21"/>
      <w:lang w:val="en-US" w:eastAsia="zh-CN" w:bidi="ar-SA"/>
    </w:rPr>
  </w:style>
  <w:style w:type="paragraph" w:customStyle="1" w:styleId="69">
    <w:name w:val="纯文本2"/>
    <w:basedOn w:val="1"/>
    <w:qFormat/>
    <w:uiPriority w:val="0"/>
    <w:rPr>
      <w:rFonts w:ascii="宋体" w:hAnsi="Courier New" w:cs="Courier New"/>
      <w:szCs w:val="21"/>
    </w:rPr>
  </w:style>
  <w:style w:type="character" w:customStyle="1" w:styleId="70">
    <w:name w:val="标题 1 Char"/>
    <w:basedOn w:val="24"/>
    <w:link w:val="3"/>
    <w:qFormat/>
    <w:uiPriority w:val="0"/>
    <w:rPr>
      <w:rFonts w:hint="default" w:ascii="Times New Roman" w:hAnsi="Times New Roman" w:eastAsia="宋体" w:cs="Times New Roman"/>
      <w:b/>
      <w:kern w:val="44"/>
      <w:sz w:val="44"/>
      <w:szCs w:val="44"/>
    </w:rPr>
  </w:style>
  <w:style w:type="character" w:customStyle="1" w:styleId="71">
    <w:name w:val="15"/>
    <w:basedOn w:val="24"/>
    <w:qFormat/>
    <w:uiPriority w:val="0"/>
    <w:rPr>
      <w:rFonts w:hint="default" w:ascii="Times New Roman" w:hAnsi="Times New Roman" w:cs="Times New Roman"/>
    </w:rPr>
  </w:style>
  <w:style w:type="paragraph" w:customStyle="1" w:styleId="72">
    <w:name w:val="正文首缩两字"/>
    <w:basedOn w:val="1"/>
    <w:qFormat/>
    <w:uiPriority w:val="0"/>
    <w:pPr>
      <w:spacing w:line="360" w:lineRule="auto"/>
      <w:ind w:firstLine="200" w:firstLineChars="200"/>
    </w:pPr>
    <w:rPr>
      <w:rFonts w:ascii="Verdana" w:hAnsi="Verdana"/>
      <w:sz w:val="24"/>
    </w:rPr>
  </w:style>
  <w:style w:type="character" w:customStyle="1" w:styleId="73">
    <w:name w:val="font31"/>
    <w:basedOn w:val="24"/>
    <w:qFormat/>
    <w:uiPriority w:val="0"/>
    <w:rPr>
      <w:rFonts w:hint="eastAsia" w:ascii="宋体" w:hAnsi="宋体" w:eastAsia="宋体" w:cs="宋体"/>
      <w:color w:val="FF0000"/>
      <w:sz w:val="24"/>
      <w:szCs w:val="24"/>
      <w:u w:val="none"/>
    </w:rPr>
  </w:style>
  <w:style w:type="character" w:customStyle="1" w:styleId="74">
    <w:name w:val="font41"/>
    <w:basedOn w:val="24"/>
    <w:qFormat/>
    <w:uiPriority w:val="0"/>
    <w:rPr>
      <w:rFonts w:hint="default" w:ascii="Times New Roman" w:hAnsi="Times New Roman" w:cs="Times New Roman"/>
      <w:color w:val="FF0000"/>
      <w:sz w:val="24"/>
      <w:szCs w:val="24"/>
      <w:u w:val="none"/>
    </w:rPr>
  </w:style>
  <w:style w:type="character" w:customStyle="1" w:styleId="75">
    <w:name w:val="font111"/>
    <w:basedOn w:val="24"/>
    <w:qFormat/>
    <w:uiPriority w:val="0"/>
    <w:rPr>
      <w:rFonts w:hint="default" w:ascii="等线" w:hAnsi="等线" w:eastAsia="等线" w:cs="等线"/>
      <w:color w:val="FF0000"/>
      <w:sz w:val="24"/>
      <w:szCs w:val="24"/>
      <w:u w:val="none"/>
    </w:rPr>
  </w:style>
  <w:style w:type="character" w:customStyle="1" w:styleId="76">
    <w:name w:val="+正文 Char Char4"/>
    <w:qFormat/>
    <w:uiPriority w:val="0"/>
    <w:rPr>
      <w:rFonts w:eastAsia="宋体"/>
      <w:kern w:val="2"/>
      <w:sz w:val="24"/>
      <w:szCs w:val="24"/>
      <w:lang w:val="en-US" w:eastAsia="zh-CN" w:bidi="ar-SA"/>
    </w:rPr>
  </w:style>
  <w:style w:type="paragraph" w:customStyle="1" w:styleId="77">
    <w:name w:val="zz正文"/>
    <w:basedOn w:val="1"/>
    <w:qFormat/>
    <w:uiPriority w:val="0"/>
    <w:pPr>
      <w:adjustRightInd w:val="0"/>
      <w:snapToGrid w:val="0"/>
      <w:ind w:firstLine="200" w:firstLineChars="200"/>
      <w:textAlignment w:val="center"/>
    </w:pPr>
    <w:rPr>
      <w:rFonts w:cs="宋体"/>
      <w:szCs w:val="20"/>
    </w:rPr>
  </w:style>
  <w:style w:type="paragraph" w:customStyle="1" w:styleId="78">
    <w:name w:val="+正文"/>
    <w:basedOn w:val="1"/>
    <w:qFormat/>
    <w:uiPriority w:val="0"/>
    <w:pPr>
      <w:ind w:firstLine="200" w:firstLineChars="200"/>
    </w:pPr>
    <w:rPr>
      <w:szCs w:val="28"/>
    </w:rPr>
  </w:style>
  <w:style w:type="paragraph" w:customStyle="1" w:styleId="79">
    <w:name w:val="彩色列表1"/>
    <w:basedOn w:val="1"/>
    <w:qFormat/>
    <w:uiPriority w:val="34"/>
    <w:pPr>
      <w:ind w:firstLine="420" w:firstLineChars="200"/>
    </w:pPr>
  </w:style>
  <w:style w:type="character" w:customStyle="1" w:styleId="80">
    <w:name w:val="font61"/>
    <w:basedOn w:val="24"/>
    <w:qFormat/>
    <w:uiPriority w:val="0"/>
    <w:rPr>
      <w:rFonts w:hint="eastAsia" w:ascii="宋体" w:hAnsi="宋体" w:eastAsia="宋体" w:cs="宋体"/>
      <w:color w:val="auto"/>
      <w:sz w:val="16"/>
      <w:szCs w:val="16"/>
      <w:u w:val="none"/>
    </w:rPr>
  </w:style>
  <w:style w:type="paragraph" w:customStyle="1" w:styleId="81">
    <w:name w:val="Char Char1 Char Char Char"/>
    <w:basedOn w:val="1"/>
    <w:qFormat/>
    <w:uiPriority w:val="0"/>
    <w:rPr>
      <w:kern w:val="0"/>
      <w:sz w:val="20"/>
      <w:szCs w:val="20"/>
    </w:rPr>
  </w:style>
  <w:style w:type="paragraph" w:customStyle="1" w:styleId="82">
    <w:name w:val="Other|1"/>
    <w:basedOn w:val="1"/>
    <w:qFormat/>
    <w:uiPriority w:val="0"/>
    <w:pPr>
      <w:spacing w:line="480" w:lineRule="auto"/>
      <w:ind w:firstLine="160"/>
    </w:pPr>
    <w:rPr>
      <w:rFonts w:ascii="宋体" w:hAnsi="宋体" w:cs="宋体"/>
      <w:sz w:val="20"/>
      <w:szCs w:val="20"/>
      <w:lang w:val="zh-TW" w:eastAsia="zh-TW" w:bidi="zh-TW"/>
    </w:rPr>
  </w:style>
  <w:style w:type="paragraph" w:customStyle="1" w:styleId="83">
    <w:name w:val="Heading #3|1"/>
    <w:basedOn w:val="1"/>
    <w:qFormat/>
    <w:uiPriority w:val="0"/>
    <w:pPr>
      <w:spacing w:after="100"/>
      <w:outlineLvl w:val="2"/>
    </w:pPr>
    <w:rPr>
      <w:rFonts w:ascii="宋体" w:hAnsi="宋体" w:cs="宋体"/>
      <w:lang w:val="zh-TW" w:eastAsia="zh-TW" w:bidi="zh-TW"/>
    </w:rPr>
  </w:style>
  <w:style w:type="paragraph" w:customStyle="1" w:styleId="84">
    <w:name w:val="Body text|1"/>
    <w:basedOn w:val="1"/>
    <w:qFormat/>
    <w:uiPriority w:val="0"/>
    <w:pPr>
      <w:spacing w:line="480" w:lineRule="auto"/>
      <w:ind w:firstLine="160"/>
    </w:pPr>
    <w:rPr>
      <w:rFonts w:ascii="宋体" w:hAnsi="宋体" w:cs="宋体"/>
      <w:sz w:val="20"/>
      <w:szCs w:val="20"/>
      <w:lang w:val="zh-TW" w:eastAsia="zh-TW" w:bidi="zh-TW"/>
    </w:rPr>
  </w:style>
  <w:style w:type="paragraph" w:customStyle="1" w:styleId="85">
    <w:name w:val="cucd-TB"/>
    <w:qFormat/>
    <w:uiPriority w:val="0"/>
    <w:pPr>
      <w:spacing w:line="360" w:lineRule="auto"/>
      <w:jc w:val="center"/>
    </w:pPr>
    <w:rPr>
      <w:rFonts w:ascii="Times New Roman" w:hAnsi="Times New Roman" w:eastAsia="宋体" w:cs="Times New Roman"/>
      <w:kern w:val="2"/>
      <w:sz w:val="21"/>
      <w:szCs w:val="24"/>
      <w:lang w:val="en-US" w:eastAsia="zh-CN" w:bidi="ar-SA"/>
    </w:rPr>
  </w:style>
  <w:style w:type="paragraph" w:customStyle="1" w:styleId="86">
    <w:name w:val="文本"/>
    <w:qFormat/>
    <w:uiPriority w:val="0"/>
    <w:pPr>
      <w:spacing w:line="360" w:lineRule="auto"/>
      <w:ind w:firstLine="480" w:firstLineChars="200"/>
      <w:jc w:val="both"/>
    </w:pPr>
    <w:rPr>
      <w:rFonts w:ascii="Times New Roman" w:hAnsi="Times New Roman" w:eastAsia="宋体" w:cs="Times New Roman"/>
      <w:kern w:val="2"/>
      <w:sz w:val="24"/>
      <w:szCs w:val="24"/>
      <w:lang w:val="en-US" w:eastAsia="zh-CN" w:bidi="ar-SA"/>
    </w:rPr>
  </w:style>
  <w:style w:type="table" w:customStyle="1" w:styleId="87">
    <w:name w:val="网格型1"/>
    <w:basedOn w:val="21"/>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8">
    <w:name w:val="图表文字"/>
    <w:qFormat/>
    <w:uiPriority w:val="0"/>
    <w:pPr>
      <w:tabs>
        <w:tab w:val="left" w:pos="3850"/>
      </w:tabs>
      <w:spacing w:line="360" w:lineRule="auto"/>
      <w:jc w:val="both"/>
    </w:pPr>
    <w:rPr>
      <w:rFonts w:ascii="Calibri" w:hAnsi="Calibri" w:eastAsia="宋体" w:cs="Times New Roman"/>
      <w:sz w:val="24"/>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91</Pages>
  <Words>50496</Words>
  <Characters>52438</Characters>
  <Lines>472</Lines>
  <Paragraphs>132</Paragraphs>
  <TotalTime>6</TotalTime>
  <ScaleCrop>false</ScaleCrop>
  <LinksUpToDate>false</LinksUpToDate>
  <CharactersWithSpaces>54683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2022-03-21T09:57:00Z</dcterms:created>
  <dc:creator>pc</dc:creator>
  <cp:lastModifiedBy>敏</cp:lastModifiedBy>
  <cp:lastPrinted>2022-05-07T08:10:00Z</cp:lastPrinted>
  <dcterms:modified xsi:type="dcterms:W3CDTF">2022-06-07T08:22:45Z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E6486B20969744AC808B80AA70B87A76</vt:lpwstr>
  </property>
</Properties>
</file>