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Style w:val="9"/>
          <w:rFonts w:hint="eastAsia" w:ascii="宋体" w:hAnsi="宋体" w:eastAsia="宋体" w:cs="宋体"/>
          <w:b/>
          <w:bCs/>
          <w:sz w:val="36"/>
          <w:szCs w:val="36"/>
        </w:rPr>
      </w:pPr>
      <w:r>
        <w:rPr>
          <w:rStyle w:val="9"/>
          <w:rFonts w:hint="eastAsia" w:ascii="宋体" w:hAnsi="宋体" w:eastAsia="宋体" w:cs="宋体"/>
          <w:b/>
          <w:bCs/>
          <w:sz w:val="36"/>
          <w:szCs w:val="36"/>
        </w:rPr>
        <w:t>建筑工程招标控制价编制说明</w:t>
      </w:r>
    </w:p>
    <w:p>
      <w:pPr>
        <w:snapToGrid w:val="0"/>
        <w:jc w:val="center"/>
        <w:rPr>
          <w:rStyle w:val="9"/>
          <w:rFonts w:hint="eastAsia" w:ascii="宋体" w:hAnsi="宋体" w:eastAsia="宋体" w:cs="宋体"/>
          <w:b/>
          <w:bCs/>
          <w:sz w:val="36"/>
          <w:szCs w:val="36"/>
        </w:rPr>
      </w:pPr>
    </w:p>
    <w:p>
      <w:pPr>
        <w:ind w:left="1400" w:hanging="1400" w:hangingChars="500"/>
        <w:jc w:val="left"/>
        <w:rPr>
          <w:rStyle w:val="9"/>
          <w:rFonts w:hint="eastAsia" w:ascii="宋体" w:hAnsi="宋体" w:eastAsia="宋体" w:cs="宋体"/>
          <w:b/>
          <w:bCs/>
          <w:sz w:val="28"/>
          <w:szCs w:val="28"/>
          <w:u w:val="single"/>
          <w:lang w:eastAsia="zh-CN"/>
        </w:rPr>
      </w:pPr>
      <w:r>
        <w:rPr>
          <w:rStyle w:val="9"/>
          <w:rFonts w:hint="eastAsia" w:ascii="宋体" w:hAnsi="宋体" w:eastAsia="宋体" w:cs="宋体"/>
          <w:sz w:val="28"/>
          <w:szCs w:val="28"/>
        </w:rPr>
        <w:t>工程名称：</w:t>
      </w:r>
      <w:r>
        <w:rPr>
          <w:rFonts w:hint="eastAsia" w:ascii="宋体" w:hAnsi="宋体" w:cs="宋体"/>
          <w:sz w:val="28"/>
          <w:szCs w:val="28"/>
          <w:u w:val="single"/>
          <w:lang w:eastAsia="zh-CN"/>
        </w:rPr>
        <w:t>木兰集团一层大厅改造工程</w:t>
      </w:r>
    </w:p>
    <w:tbl>
      <w:tblPr>
        <w:tblStyle w:val="5"/>
        <w:tblW w:w="9356" w:type="dxa"/>
        <w:tblInd w:w="-28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26" w:hRule="atLeast"/>
        </w:trPr>
        <w:tc>
          <w:tcPr>
            <w:tcW w:w="9356" w:type="dxa"/>
            <w:tcBorders>
              <w:top w:val="single" w:color="000000" w:sz="4" w:space="0"/>
              <w:left w:val="single" w:color="000000" w:sz="4" w:space="0"/>
              <w:bottom w:val="single" w:color="000000" w:sz="4" w:space="0"/>
              <w:right w:val="single" w:color="000000" w:sz="4" w:space="0"/>
            </w:tcBorders>
          </w:tcPr>
          <w:p>
            <w:pPr>
              <w:numPr>
                <w:ilvl w:val="0"/>
                <w:numId w:val="1"/>
              </w:numPr>
              <w:spacing w:line="520" w:lineRule="exact"/>
              <w:textAlignment w:val="auto"/>
              <w:rPr>
                <w:rStyle w:val="9"/>
                <w:rFonts w:hint="eastAsia" w:ascii="宋体" w:hAnsi="宋体" w:eastAsia="宋体" w:cs="宋体"/>
                <w:b/>
                <w:bCs/>
                <w:sz w:val="28"/>
                <w:szCs w:val="28"/>
              </w:rPr>
            </w:pPr>
            <w:r>
              <w:rPr>
                <w:rStyle w:val="9"/>
                <w:rFonts w:hint="eastAsia" w:ascii="宋体" w:hAnsi="宋体" w:eastAsia="宋体" w:cs="宋体"/>
                <w:b/>
                <w:bCs/>
                <w:sz w:val="28"/>
                <w:szCs w:val="28"/>
              </w:rPr>
              <w:t>工程概况</w:t>
            </w:r>
          </w:p>
          <w:p>
            <w:pPr>
              <w:pStyle w:val="4"/>
              <w:keepNext w:val="0"/>
              <w:keepLines w:val="0"/>
              <w:widowControl/>
              <w:suppressLineNumbers w:val="0"/>
              <w:spacing w:before="0" w:beforeAutospacing="0" w:after="0" w:afterAutospacing="0"/>
              <w:ind w:left="0" w:right="0" w:firstLine="560" w:firstLineChars="200"/>
              <w:rPr>
                <w:rStyle w:val="9"/>
                <w:rFonts w:hint="eastAsia" w:ascii="宋体" w:hAnsi="宋体" w:eastAsia="宋体" w:cs="宋体"/>
                <w:bCs/>
                <w:sz w:val="28"/>
                <w:szCs w:val="28"/>
              </w:rPr>
            </w:pPr>
            <w:r>
              <w:rPr>
                <w:rStyle w:val="9"/>
                <w:rFonts w:hint="eastAsia" w:ascii="宋体" w:hAnsi="宋体" w:eastAsia="宋体" w:cs="宋体"/>
                <w:bCs/>
                <w:sz w:val="28"/>
                <w:szCs w:val="28"/>
              </w:rPr>
              <w:t>1.建设地点：</w:t>
            </w:r>
            <w:r>
              <w:rPr>
                <w:rFonts w:hint="eastAsia" w:ascii="宋体" w:hAnsi="宋体" w:eastAsia="宋体" w:cs="宋体"/>
                <w:kern w:val="2"/>
                <w:sz w:val="28"/>
                <w:szCs w:val="28"/>
                <w:u w:val="single"/>
                <w:lang w:val="en-US" w:eastAsia="zh-CN" w:bidi="ar-SA"/>
              </w:rPr>
              <w:t>莆田市</w:t>
            </w:r>
            <w:r>
              <w:rPr>
                <w:rStyle w:val="9"/>
                <w:rFonts w:hint="eastAsia" w:ascii="宋体" w:hAnsi="宋体" w:eastAsia="宋体" w:cs="宋体"/>
                <w:bCs/>
                <w:sz w:val="28"/>
                <w:szCs w:val="28"/>
              </w:rPr>
              <w:t>。</w:t>
            </w:r>
          </w:p>
          <w:p>
            <w:pPr>
              <w:spacing w:line="520" w:lineRule="exact"/>
              <w:ind w:firstLine="555"/>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2.工程专业：</w:t>
            </w:r>
            <w:r>
              <w:rPr>
                <w:rFonts w:hint="eastAsia" w:ascii="宋体" w:hAnsi="宋体" w:eastAsia="宋体" w:cs="宋体"/>
                <w:bCs/>
                <w:color w:val="000000"/>
                <w:sz w:val="28"/>
                <w:szCs w:val="28"/>
                <w:highlight w:val="none"/>
                <w:u w:val="single"/>
                <w:lang w:val="en-US" w:eastAsia="zh-CN"/>
              </w:rPr>
              <w:t>单独发包的装饰工程</w:t>
            </w:r>
            <w:r>
              <w:rPr>
                <w:rFonts w:hint="eastAsia" w:ascii="宋体" w:hAnsi="宋体" w:cs="宋体"/>
                <w:bCs/>
                <w:color w:val="000000"/>
                <w:sz w:val="28"/>
                <w:szCs w:val="28"/>
                <w:highlight w:val="none"/>
                <w:u w:val="single"/>
                <w:lang w:val="en-US" w:eastAsia="zh-CN"/>
              </w:rPr>
              <w:t>（含安装）</w:t>
            </w:r>
            <w:r>
              <w:rPr>
                <w:rStyle w:val="9"/>
                <w:rFonts w:hint="eastAsia" w:ascii="宋体" w:hAnsi="宋体" w:eastAsia="宋体" w:cs="宋体"/>
                <w:bCs/>
                <w:sz w:val="28"/>
                <w:szCs w:val="28"/>
              </w:rPr>
              <w:t>。</w:t>
            </w:r>
          </w:p>
          <w:p>
            <w:pPr>
              <w:spacing w:line="520" w:lineRule="exact"/>
              <w:ind w:left="959" w:leftChars="261" w:hanging="411" w:hangingChars="147"/>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3.合同工期：</w:t>
            </w:r>
            <w:r>
              <w:rPr>
                <w:rStyle w:val="9"/>
                <w:rFonts w:hint="eastAsia" w:ascii="宋体" w:hAnsi="宋体" w:eastAsia="宋体" w:cs="宋体"/>
                <w:sz w:val="28"/>
                <w:szCs w:val="28"/>
                <w:u w:val="single"/>
              </w:rPr>
              <w:t xml:space="preserve"> </w:t>
            </w:r>
            <w:r>
              <w:rPr>
                <w:rStyle w:val="9"/>
                <w:rFonts w:hint="eastAsia" w:ascii="宋体" w:hAnsi="宋体" w:cs="宋体"/>
                <w:sz w:val="28"/>
                <w:szCs w:val="28"/>
                <w:u w:val="single"/>
                <w:lang w:val="en-US" w:eastAsia="zh-CN"/>
              </w:rPr>
              <w:t>25</w:t>
            </w:r>
            <w:r>
              <w:rPr>
                <w:rStyle w:val="9"/>
                <w:rFonts w:hint="eastAsia" w:ascii="宋体" w:hAnsi="宋体" w:eastAsia="宋体" w:cs="宋体"/>
                <w:sz w:val="28"/>
                <w:szCs w:val="28"/>
                <w:u w:val="single"/>
              </w:rPr>
              <w:t>日历天，缩短定额工期增加费包干为0</w:t>
            </w:r>
            <w:r>
              <w:rPr>
                <w:rStyle w:val="9"/>
                <w:rFonts w:hint="eastAsia" w:ascii="宋体" w:hAnsi="宋体" w:eastAsia="宋体" w:cs="宋体"/>
                <w:bCs/>
                <w:sz w:val="28"/>
                <w:szCs w:val="28"/>
              </w:rPr>
              <w:t>；工程质量等级：</w:t>
            </w:r>
            <w:r>
              <w:rPr>
                <w:rStyle w:val="9"/>
                <w:rFonts w:hint="eastAsia" w:ascii="宋体" w:hAnsi="宋体" w:eastAsia="宋体" w:cs="宋体"/>
                <w:sz w:val="28"/>
                <w:szCs w:val="28"/>
                <w:u w:val="single"/>
              </w:rPr>
              <w:t>合格工程</w:t>
            </w:r>
            <w:r>
              <w:rPr>
                <w:rStyle w:val="9"/>
                <w:rFonts w:hint="eastAsia" w:ascii="宋体" w:hAnsi="宋体" w:eastAsia="宋体" w:cs="宋体"/>
                <w:bCs/>
                <w:sz w:val="28"/>
                <w:szCs w:val="28"/>
              </w:rPr>
              <w:t>。</w:t>
            </w:r>
          </w:p>
          <w:p>
            <w:pPr>
              <w:spacing w:line="520" w:lineRule="exact"/>
              <w:ind w:left="959" w:leftChars="261" w:hanging="411" w:hangingChars="147"/>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4.招标范围：</w:t>
            </w:r>
            <w:r>
              <w:rPr>
                <w:rFonts w:hint="eastAsia" w:ascii="宋体" w:hAnsi="宋体" w:cs="宋体"/>
                <w:sz w:val="28"/>
                <w:szCs w:val="28"/>
                <w:u w:val="single"/>
                <w:lang w:eastAsia="zh-CN"/>
              </w:rPr>
              <w:t>木兰集团一层大厅改造工程</w:t>
            </w:r>
            <w:r>
              <w:rPr>
                <w:rStyle w:val="9"/>
                <w:rFonts w:hint="eastAsia" w:ascii="宋体" w:hAnsi="宋体" w:eastAsia="宋体" w:cs="宋体"/>
                <w:bCs/>
                <w:sz w:val="28"/>
                <w:szCs w:val="28"/>
                <w:u w:val="single"/>
              </w:rPr>
              <w:t>；</w:t>
            </w:r>
            <w:r>
              <w:rPr>
                <w:rStyle w:val="9"/>
                <w:rFonts w:hint="eastAsia" w:ascii="宋体" w:hAnsi="宋体" w:eastAsia="宋体" w:cs="宋体"/>
                <w:bCs/>
                <w:sz w:val="28"/>
                <w:szCs w:val="28"/>
              </w:rPr>
              <w:t>单独发包的专业工程：</w:t>
            </w:r>
            <w:r>
              <w:rPr>
                <w:rStyle w:val="9"/>
                <w:rFonts w:hint="eastAsia" w:ascii="宋体" w:hAnsi="宋体" w:eastAsia="宋体" w:cs="宋体"/>
                <w:bCs/>
                <w:sz w:val="28"/>
                <w:szCs w:val="28"/>
                <w:u w:val="single"/>
              </w:rPr>
              <w:t>无</w:t>
            </w:r>
            <w:r>
              <w:rPr>
                <w:rStyle w:val="9"/>
                <w:rFonts w:hint="eastAsia" w:ascii="宋体" w:hAnsi="宋体" w:eastAsia="宋体" w:cs="宋体"/>
                <w:bCs/>
                <w:sz w:val="28"/>
                <w:szCs w:val="28"/>
              </w:rPr>
              <w:t>。</w:t>
            </w:r>
          </w:p>
          <w:p>
            <w:pPr>
              <w:spacing w:line="520" w:lineRule="exact"/>
              <w:ind w:left="959" w:leftChars="261" w:hanging="411" w:hangingChars="147"/>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5.工程特征：</w:t>
            </w:r>
          </w:p>
          <w:p>
            <w:pPr>
              <w:numPr>
                <w:ilvl w:val="0"/>
                <w:numId w:val="2"/>
              </w:numPr>
              <w:tabs>
                <w:tab w:val="left" w:pos="0"/>
              </w:tabs>
              <w:spacing w:line="520" w:lineRule="exact"/>
              <w:ind w:left="0" w:firstLine="548"/>
              <w:textAlignment w:val="auto"/>
              <w:rPr>
                <w:rStyle w:val="9"/>
                <w:rFonts w:hint="eastAsia" w:ascii="宋体" w:hAnsi="宋体" w:eastAsia="宋体" w:cs="宋体"/>
                <w:bCs/>
                <w:sz w:val="28"/>
                <w:szCs w:val="28"/>
              </w:rPr>
            </w:pPr>
            <w:r>
              <w:rPr>
                <w:rStyle w:val="9"/>
                <w:rFonts w:hint="eastAsia" w:ascii="宋体" w:hAnsi="宋体" w:eastAsia="宋体" w:cs="宋体"/>
                <w:bCs/>
                <w:kern w:val="0"/>
                <w:sz w:val="28"/>
                <w:szCs w:val="28"/>
              </w:rPr>
              <w:t xml:space="preserve"> 装饰情况：</w:t>
            </w:r>
            <w:r>
              <w:rPr>
                <w:rStyle w:val="9"/>
                <w:rFonts w:hint="eastAsia" w:ascii="宋体" w:hAnsi="宋体" w:eastAsia="宋体" w:cs="宋体"/>
                <w:sz w:val="28"/>
                <w:szCs w:val="28"/>
                <w:u w:val="single"/>
              </w:rPr>
              <w:t>按设计图纸装饰完整</w:t>
            </w:r>
            <w:r>
              <w:rPr>
                <w:rStyle w:val="9"/>
                <w:rFonts w:hint="eastAsia" w:ascii="宋体" w:hAnsi="宋体" w:eastAsia="宋体" w:cs="宋体"/>
                <w:bCs/>
                <w:sz w:val="28"/>
                <w:szCs w:val="28"/>
              </w:rPr>
              <w:t>。</w:t>
            </w:r>
          </w:p>
          <w:p>
            <w:pPr>
              <w:numPr>
                <w:ilvl w:val="0"/>
                <w:numId w:val="1"/>
              </w:numPr>
              <w:spacing w:line="520" w:lineRule="exact"/>
              <w:textAlignment w:val="auto"/>
              <w:rPr>
                <w:rStyle w:val="9"/>
                <w:rFonts w:hint="eastAsia" w:ascii="宋体" w:hAnsi="宋体" w:eastAsia="宋体" w:cs="宋体"/>
                <w:b/>
                <w:bCs/>
                <w:sz w:val="28"/>
                <w:szCs w:val="28"/>
              </w:rPr>
            </w:pPr>
            <w:r>
              <w:rPr>
                <w:rStyle w:val="9"/>
                <w:rFonts w:hint="eastAsia" w:ascii="宋体" w:hAnsi="宋体" w:eastAsia="宋体" w:cs="宋体"/>
                <w:b/>
                <w:bCs/>
                <w:sz w:val="28"/>
                <w:szCs w:val="28"/>
              </w:rPr>
              <w:t>编制范围</w:t>
            </w:r>
          </w:p>
          <w:p>
            <w:pPr>
              <w:pStyle w:val="4"/>
              <w:keepNext w:val="0"/>
              <w:keepLines w:val="0"/>
              <w:widowControl/>
              <w:suppressLineNumbers w:val="0"/>
              <w:spacing w:before="0" w:beforeAutospacing="0" w:after="0" w:afterAutospacing="0"/>
              <w:ind w:left="0" w:right="0" w:firstLine="560" w:firstLineChars="200"/>
              <w:rPr>
                <w:rStyle w:val="9"/>
                <w:rFonts w:hint="eastAsia" w:ascii="宋体" w:hAnsi="宋体" w:eastAsia="宋体" w:cs="宋体"/>
                <w:bCs/>
                <w:sz w:val="28"/>
                <w:szCs w:val="28"/>
              </w:rPr>
            </w:pPr>
            <w:r>
              <w:rPr>
                <w:rStyle w:val="9"/>
                <w:rFonts w:hint="eastAsia" w:ascii="宋体" w:hAnsi="宋体" w:eastAsia="宋体" w:cs="宋体"/>
                <w:bCs/>
                <w:sz w:val="28"/>
                <w:szCs w:val="28"/>
              </w:rPr>
              <w:t>按照</w:t>
            </w:r>
            <w:r>
              <w:rPr>
                <w:rStyle w:val="9"/>
                <w:rFonts w:hint="eastAsia" w:ascii="宋体" w:hAnsi="宋体" w:cs="宋体"/>
                <w:bCs/>
                <w:sz w:val="28"/>
                <w:szCs w:val="28"/>
                <w:u w:val="single"/>
                <w:lang w:val="en-US" w:eastAsia="zh-CN"/>
              </w:rPr>
              <w:t>上海上咨规划建筑设计</w:t>
            </w:r>
            <w:r>
              <w:rPr>
                <w:rStyle w:val="9"/>
                <w:rFonts w:hint="eastAsia" w:ascii="宋体" w:hAnsi="宋体" w:eastAsia="宋体" w:cs="宋体"/>
                <w:bCs/>
                <w:sz w:val="28"/>
                <w:szCs w:val="28"/>
                <w:u w:val="single"/>
              </w:rPr>
              <w:t>有限公司</w:t>
            </w:r>
            <w:r>
              <w:rPr>
                <w:rStyle w:val="9"/>
                <w:rFonts w:hint="eastAsia" w:ascii="宋体" w:hAnsi="宋体" w:eastAsia="宋体" w:cs="宋体"/>
                <w:bCs/>
                <w:sz w:val="28"/>
                <w:szCs w:val="28"/>
              </w:rPr>
              <w:t>设计的</w:t>
            </w:r>
            <w:r>
              <w:rPr>
                <w:rFonts w:hint="eastAsia" w:ascii="宋体" w:hAnsi="宋体" w:cs="宋体"/>
                <w:sz w:val="28"/>
                <w:szCs w:val="28"/>
                <w:u w:val="single"/>
                <w:lang w:eastAsia="zh-CN"/>
              </w:rPr>
              <w:t>木兰集团一层大厅改造工程</w:t>
            </w:r>
            <w:r>
              <w:rPr>
                <w:rStyle w:val="9"/>
                <w:rFonts w:hint="eastAsia" w:ascii="宋体" w:hAnsi="宋体" w:eastAsia="宋体" w:cs="宋体"/>
                <w:sz w:val="28"/>
                <w:szCs w:val="28"/>
                <w:u w:val="single"/>
                <w:lang w:val="en-US" w:eastAsia="zh-CN"/>
              </w:rPr>
              <w:t xml:space="preserve">  </w:t>
            </w:r>
            <w:r>
              <w:rPr>
                <w:rStyle w:val="9"/>
                <w:rFonts w:hint="eastAsia" w:ascii="宋体" w:hAnsi="宋体" w:eastAsia="宋体" w:cs="宋体"/>
                <w:bCs/>
                <w:sz w:val="28"/>
                <w:szCs w:val="28"/>
              </w:rPr>
              <w:t>图纸，专业范围包括</w:t>
            </w:r>
            <w:r>
              <w:rPr>
                <w:rFonts w:hint="eastAsia" w:ascii="宋体" w:hAnsi="宋体" w:eastAsia="宋体" w:cs="宋体"/>
                <w:bCs/>
                <w:color w:val="000000"/>
                <w:sz w:val="28"/>
                <w:szCs w:val="28"/>
                <w:highlight w:val="none"/>
                <w:u w:val="single"/>
                <w:lang w:val="en-US" w:eastAsia="zh-CN"/>
              </w:rPr>
              <w:t>单独发包的装饰工程</w:t>
            </w:r>
            <w:r>
              <w:rPr>
                <w:rFonts w:hint="eastAsia" w:ascii="宋体" w:hAnsi="宋体" w:cs="宋体"/>
                <w:bCs/>
                <w:color w:val="000000"/>
                <w:sz w:val="28"/>
                <w:szCs w:val="28"/>
                <w:highlight w:val="none"/>
                <w:u w:val="single"/>
                <w:lang w:val="en-US" w:eastAsia="zh-CN"/>
              </w:rPr>
              <w:t>（含安装）</w:t>
            </w:r>
            <w:r>
              <w:rPr>
                <w:rStyle w:val="9"/>
                <w:rFonts w:hint="eastAsia" w:ascii="宋体" w:hAnsi="宋体" w:eastAsia="宋体" w:cs="宋体"/>
                <w:bCs/>
                <w:sz w:val="28"/>
                <w:szCs w:val="28"/>
              </w:rPr>
              <w:t>。</w:t>
            </w:r>
          </w:p>
          <w:p>
            <w:pPr>
              <w:numPr>
                <w:ilvl w:val="0"/>
                <w:numId w:val="1"/>
              </w:numPr>
              <w:spacing w:line="520" w:lineRule="exact"/>
              <w:textAlignment w:val="auto"/>
              <w:rPr>
                <w:rStyle w:val="9"/>
                <w:rFonts w:hint="eastAsia" w:ascii="宋体" w:hAnsi="宋体" w:eastAsia="宋体" w:cs="宋体"/>
                <w:b/>
                <w:bCs/>
                <w:sz w:val="28"/>
                <w:szCs w:val="28"/>
              </w:rPr>
            </w:pPr>
            <w:r>
              <w:rPr>
                <w:rStyle w:val="9"/>
                <w:rFonts w:hint="eastAsia" w:ascii="宋体" w:hAnsi="宋体" w:eastAsia="宋体" w:cs="宋体"/>
                <w:b/>
                <w:bCs/>
                <w:sz w:val="28"/>
                <w:szCs w:val="28"/>
              </w:rPr>
              <w:t>编制依据</w:t>
            </w:r>
          </w:p>
          <w:p>
            <w:pPr>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1.图纸：</w:t>
            </w:r>
            <w:r>
              <w:rPr>
                <w:rStyle w:val="9"/>
                <w:rFonts w:hint="eastAsia" w:ascii="宋体" w:hAnsi="宋体" w:cs="宋体"/>
                <w:bCs/>
                <w:sz w:val="28"/>
                <w:szCs w:val="28"/>
                <w:u w:val="single"/>
                <w:lang w:val="en-US" w:eastAsia="zh-CN"/>
              </w:rPr>
              <w:t>上海上咨规划建筑设计</w:t>
            </w:r>
            <w:r>
              <w:rPr>
                <w:rStyle w:val="9"/>
                <w:rFonts w:hint="eastAsia" w:ascii="宋体" w:hAnsi="宋体" w:eastAsia="宋体" w:cs="宋体"/>
                <w:bCs/>
                <w:sz w:val="28"/>
                <w:szCs w:val="28"/>
                <w:u w:val="single"/>
              </w:rPr>
              <w:t>有限公司</w:t>
            </w:r>
            <w:r>
              <w:rPr>
                <w:rStyle w:val="9"/>
                <w:rFonts w:hint="eastAsia" w:ascii="宋体" w:hAnsi="宋体" w:eastAsia="宋体" w:cs="宋体"/>
                <w:sz w:val="28"/>
                <w:szCs w:val="28"/>
              </w:rPr>
              <w:t>设计的</w:t>
            </w:r>
            <w:r>
              <w:rPr>
                <w:rFonts w:hint="eastAsia" w:ascii="宋体" w:hAnsi="宋体" w:cs="宋体"/>
                <w:sz w:val="28"/>
                <w:szCs w:val="28"/>
                <w:u w:val="single"/>
                <w:lang w:eastAsia="zh-CN"/>
              </w:rPr>
              <w:t>木兰集团一层大厅改造工程</w:t>
            </w:r>
            <w:r>
              <w:rPr>
                <w:rStyle w:val="9"/>
                <w:rFonts w:hint="eastAsia" w:ascii="宋体" w:hAnsi="宋体" w:eastAsia="宋体" w:cs="宋体"/>
                <w:sz w:val="28"/>
                <w:szCs w:val="28"/>
                <w:u w:val="single"/>
                <w:lang w:val="en-US" w:eastAsia="zh-CN"/>
              </w:rPr>
              <w:t xml:space="preserve"> </w:t>
            </w:r>
            <w:r>
              <w:rPr>
                <w:rStyle w:val="9"/>
                <w:rFonts w:hint="eastAsia" w:ascii="宋体" w:hAnsi="宋体" w:eastAsia="宋体" w:cs="宋体"/>
                <w:sz w:val="28"/>
                <w:szCs w:val="28"/>
              </w:rPr>
              <w:t>图纸及有关设计文件。</w:t>
            </w:r>
          </w:p>
          <w:p>
            <w:pPr>
              <w:spacing w:line="520" w:lineRule="exact"/>
              <w:ind w:firstLine="560" w:firstLineChars="200"/>
              <w:textAlignment w:val="auto"/>
              <w:rPr>
                <w:rStyle w:val="9"/>
                <w:rFonts w:hint="eastAsia" w:ascii="宋体" w:hAnsi="宋体" w:eastAsia="宋体" w:cs="宋体"/>
                <w:sz w:val="28"/>
                <w:szCs w:val="28"/>
              </w:rPr>
            </w:pPr>
            <w:r>
              <w:rPr>
                <w:rStyle w:val="9"/>
                <w:rFonts w:hint="eastAsia" w:ascii="宋体" w:hAnsi="宋体" w:eastAsia="宋体" w:cs="宋体"/>
                <w:bCs/>
                <w:sz w:val="28"/>
                <w:szCs w:val="28"/>
              </w:rPr>
              <w:t>2.招标文件：</w:t>
            </w:r>
            <w:r>
              <w:rPr>
                <w:rStyle w:val="9"/>
                <w:rFonts w:hint="eastAsia" w:ascii="宋体" w:hAnsi="宋体" w:eastAsia="宋体" w:cs="宋体"/>
                <w:sz w:val="28"/>
                <w:szCs w:val="28"/>
                <w:u w:val="single"/>
                <w:lang w:val="en-US" w:eastAsia="zh-CN"/>
              </w:rPr>
              <w:t xml:space="preserve"> /  </w:t>
            </w:r>
            <w:r>
              <w:rPr>
                <w:rStyle w:val="9"/>
                <w:rFonts w:hint="eastAsia" w:ascii="宋体" w:hAnsi="宋体" w:eastAsia="宋体" w:cs="宋体"/>
                <w:bCs/>
                <w:sz w:val="28"/>
                <w:szCs w:val="28"/>
              </w:rPr>
              <w:t>编制的招标文件，</w:t>
            </w:r>
            <w:r>
              <w:rPr>
                <w:rStyle w:val="9"/>
                <w:rFonts w:hint="eastAsia" w:ascii="宋体" w:hAnsi="宋体" w:eastAsia="宋体" w:cs="宋体"/>
                <w:sz w:val="28"/>
                <w:szCs w:val="28"/>
              </w:rPr>
              <w:t>其中存在与现行计价规定不一致的内容：</w:t>
            </w:r>
            <w:r>
              <w:rPr>
                <w:rStyle w:val="9"/>
                <w:rFonts w:hint="eastAsia" w:ascii="宋体" w:hAnsi="宋体" w:eastAsia="宋体" w:cs="宋体"/>
                <w:bCs/>
                <w:sz w:val="28"/>
                <w:szCs w:val="28"/>
                <w:u w:val="single"/>
              </w:rPr>
              <w:t>无</w:t>
            </w:r>
            <w:r>
              <w:rPr>
                <w:rStyle w:val="9"/>
                <w:rFonts w:hint="eastAsia" w:ascii="宋体" w:hAnsi="宋体" w:eastAsia="宋体" w:cs="宋体"/>
                <w:bCs/>
                <w:sz w:val="28"/>
                <w:szCs w:val="28"/>
              </w:rPr>
              <w:t>。</w:t>
            </w:r>
          </w:p>
          <w:p>
            <w:pPr>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kern w:val="0"/>
                <w:sz w:val="28"/>
                <w:szCs w:val="28"/>
              </w:rPr>
              <w:t>3.</w:t>
            </w:r>
            <w:r>
              <w:rPr>
                <w:rStyle w:val="9"/>
                <w:rFonts w:hint="eastAsia" w:ascii="宋体" w:hAnsi="宋体" w:eastAsia="宋体" w:cs="宋体"/>
                <w:bCs/>
                <w:sz w:val="28"/>
                <w:szCs w:val="28"/>
              </w:rPr>
              <w:t>地质勘察报告：</w:t>
            </w:r>
            <w:r>
              <w:rPr>
                <w:rStyle w:val="9"/>
                <w:rFonts w:hint="eastAsia" w:ascii="宋体" w:hAnsi="宋体" w:eastAsia="宋体" w:cs="宋体"/>
                <w:sz w:val="28"/>
                <w:szCs w:val="28"/>
                <w:u w:val="single"/>
                <w:lang w:val="en-US" w:eastAsia="zh-CN"/>
              </w:rPr>
              <w:t xml:space="preserve"> / </w:t>
            </w:r>
            <w:r>
              <w:rPr>
                <w:rStyle w:val="9"/>
                <w:rFonts w:hint="eastAsia" w:ascii="宋体" w:hAnsi="宋体" w:eastAsia="宋体" w:cs="宋体"/>
                <w:bCs/>
                <w:sz w:val="28"/>
                <w:szCs w:val="28"/>
              </w:rPr>
              <w:t>。</w:t>
            </w:r>
          </w:p>
          <w:p>
            <w:pPr>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4.计价计量规范：</w:t>
            </w:r>
            <w:r>
              <w:rPr>
                <w:rStyle w:val="9"/>
                <w:rFonts w:hint="eastAsia" w:ascii="宋体" w:hAnsi="宋体" w:eastAsia="宋体" w:cs="宋体"/>
                <w:sz w:val="28"/>
                <w:szCs w:val="28"/>
                <w:u w:val="single"/>
              </w:rPr>
              <w:t>《建设工程工程量清单计价规范》（GB50500-2013）及各专业工程工程量计算规范（GB50854～50862-2013）</w:t>
            </w:r>
            <w:r>
              <w:rPr>
                <w:rStyle w:val="9"/>
                <w:rFonts w:hint="eastAsia" w:ascii="宋体" w:hAnsi="宋体" w:eastAsia="宋体" w:cs="宋体"/>
                <w:bCs/>
                <w:sz w:val="28"/>
                <w:szCs w:val="28"/>
              </w:rPr>
              <w:t>。</w:t>
            </w:r>
          </w:p>
          <w:p>
            <w:pPr>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5.预算定额：</w:t>
            </w:r>
            <w:r>
              <w:rPr>
                <w:rStyle w:val="9"/>
                <w:rFonts w:hint="eastAsia" w:ascii="宋体" w:hAnsi="宋体" w:eastAsia="宋体" w:cs="宋体"/>
                <w:sz w:val="28"/>
                <w:szCs w:val="28"/>
                <w:u w:val="single"/>
              </w:rPr>
              <w:t>《福建省房屋建筑与装饰工程预算定额》（FJYD-101-2017）、《福建省构筑物工程预算定额》（FJYD-102-2017）、《福建省装配式建筑工程预算定额》（FJYD-103-2017）、《福建省通用安装工程预算定额》（FJYD-301-2017～ FJYD-311-2017）、《福建省市政工程预算定额》（FJYD-401-2017～ FJYD-409-2017）、《福建省园林绿化工程预算定额》（FJYD-501-2017）、《福建省建设工程混凝土、砂浆等半成品配合比》（2017版）及现行补充或调整文件</w:t>
            </w:r>
            <w:r>
              <w:rPr>
                <w:rStyle w:val="9"/>
                <w:rFonts w:hint="eastAsia" w:ascii="宋体" w:hAnsi="宋体" w:eastAsia="宋体" w:cs="宋体"/>
                <w:bCs/>
                <w:sz w:val="28"/>
                <w:szCs w:val="28"/>
              </w:rPr>
              <w:t>。</w:t>
            </w:r>
          </w:p>
          <w:p>
            <w:pPr>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6.费用定额：</w:t>
            </w:r>
            <w:r>
              <w:rPr>
                <w:rFonts w:hint="eastAsia" w:ascii="宋体" w:hAnsi="宋体" w:eastAsia="宋体" w:cs="宋体"/>
                <w:bCs/>
                <w:sz w:val="28"/>
                <w:szCs w:val="28"/>
                <w:u w:val="single"/>
              </w:rPr>
              <w:t>《</w:t>
            </w:r>
            <w:r>
              <w:rPr>
                <w:rStyle w:val="9"/>
                <w:rFonts w:hint="eastAsia" w:ascii="宋体" w:hAnsi="宋体" w:eastAsia="宋体" w:cs="宋体"/>
                <w:sz w:val="28"/>
                <w:szCs w:val="28"/>
                <w:u w:val="single"/>
              </w:rPr>
              <w:t>福建省建筑安装工程费用定额》（2017版）及现行补充调整文件</w:t>
            </w:r>
            <w:r>
              <w:rPr>
                <w:rStyle w:val="9"/>
                <w:rFonts w:hint="eastAsia" w:ascii="宋体" w:hAnsi="宋体" w:eastAsia="宋体" w:cs="宋体"/>
                <w:bCs/>
                <w:sz w:val="28"/>
                <w:szCs w:val="28"/>
              </w:rPr>
              <w:t>。其中，暂列金额：</w:t>
            </w:r>
            <w:r>
              <w:rPr>
                <w:rStyle w:val="9"/>
                <w:rFonts w:hint="eastAsia" w:ascii="宋体" w:hAnsi="宋体" w:eastAsia="宋体" w:cs="宋体"/>
                <w:bCs/>
                <w:sz w:val="28"/>
                <w:szCs w:val="28"/>
                <w:u w:val="single"/>
              </w:rPr>
              <w:t>无</w:t>
            </w:r>
            <w:r>
              <w:rPr>
                <w:rStyle w:val="9"/>
                <w:rFonts w:hint="eastAsia" w:ascii="宋体" w:hAnsi="宋体" w:eastAsia="宋体" w:cs="宋体"/>
                <w:bCs/>
                <w:sz w:val="28"/>
                <w:szCs w:val="28"/>
              </w:rPr>
              <w:t>；专业工程暂估价：</w:t>
            </w:r>
            <w:r>
              <w:rPr>
                <w:rStyle w:val="9"/>
                <w:rFonts w:hint="eastAsia" w:ascii="宋体" w:hAnsi="宋体" w:eastAsia="宋体" w:cs="宋体"/>
                <w:bCs/>
                <w:sz w:val="28"/>
                <w:szCs w:val="28"/>
                <w:u w:val="single"/>
              </w:rPr>
              <w:t>无</w:t>
            </w:r>
            <w:r>
              <w:rPr>
                <w:rStyle w:val="9"/>
                <w:rFonts w:hint="eastAsia" w:ascii="宋体" w:hAnsi="宋体" w:eastAsia="宋体" w:cs="宋体"/>
                <w:bCs/>
                <w:sz w:val="28"/>
                <w:szCs w:val="28"/>
              </w:rPr>
              <w:t>；甲供材料费：</w:t>
            </w:r>
            <w:r>
              <w:rPr>
                <w:rStyle w:val="9"/>
                <w:rFonts w:hint="eastAsia" w:ascii="宋体" w:hAnsi="宋体" w:eastAsia="宋体" w:cs="宋体"/>
                <w:bCs/>
                <w:sz w:val="28"/>
                <w:szCs w:val="28"/>
                <w:u w:val="single"/>
              </w:rPr>
              <w:t>无</w:t>
            </w:r>
            <w:r>
              <w:rPr>
                <w:rStyle w:val="9"/>
                <w:rFonts w:hint="eastAsia" w:ascii="宋体" w:hAnsi="宋体" w:eastAsia="宋体" w:cs="宋体"/>
                <w:bCs/>
                <w:sz w:val="28"/>
                <w:szCs w:val="28"/>
              </w:rPr>
              <w:t>。</w:t>
            </w:r>
          </w:p>
          <w:p>
            <w:pPr>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7.人材机价格：</w:t>
            </w:r>
          </w:p>
          <w:p>
            <w:pPr>
              <w:spacing w:line="520" w:lineRule="exact"/>
              <w:ind w:firstLine="560" w:firstLineChars="200"/>
              <w:textAlignment w:val="auto"/>
              <w:rPr>
                <w:rStyle w:val="9"/>
                <w:rFonts w:hint="eastAsia" w:ascii="宋体" w:hAnsi="宋体" w:eastAsia="宋体" w:cs="宋体"/>
                <w:bCs/>
                <w:color w:val="000000"/>
                <w:sz w:val="28"/>
                <w:szCs w:val="28"/>
                <w:u w:val="single"/>
              </w:rPr>
            </w:pPr>
            <w:r>
              <w:rPr>
                <w:rStyle w:val="9"/>
                <w:rFonts w:hint="eastAsia" w:ascii="宋体" w:hAnsi="宋体" w:eastAsia="宋体" w:cs="宋体"/>
                <w:bCs/>
                <w:sz w:val="28"/>
                <w:szCs w:val="28"/>
              </w:rPr>
              <w:t>（1）人工费指数：</w:t>
            </w:r>
            <w:r>
              <w:rPr>
                <w:rStyle w:val="9"/>
                <w:rFonts w:hint="eastAsia" w:ascii="宋体" w:hAnsi="宋体" w:eastAsia="宋体" w:cs="宋体"/>
                <w:bCs/>
                <w:color w:val="000000"/>
                <w:sz w:val="28"/>
                <w:szCs w:val="28"/>
                <w:u w:val="single"/>
              </w:rPr>
              <w:t>莆建管【20</w:t>
            </w:r>
            <w:r>
              <w:rPr>
                <w:rStyle w:val="9"/>
                <w:rFonts w:hint="eastAsia" w:ascii="宋体" w:hAnsi="宋体" w:eastAsia="宋体" w:cs="宋体"/>
                <w:bCs/>
                <w:color w:val="000000"/>
                <w:sz w:val="28"/>
                <w:szCs w:val="28"/>
                <w:u w:val="single"/>
                <w:lang w:val="en-US" w:eastAsia="zh-CN"/>
              </w:rPr>
              <w:t>23</w:t>
            </w:r>
            <w:r>
              <w:rPr>
                <w:rStyle w:val="9"/>
                <w:rFonts w:hint="eastAsia" w:ascii="宋体" w:hAnsi="宋体" w:eastAsia="宋体" w:cs="宋体"/>
                <w:bCs/>
                <w:color w:val="000000"/>
                <w:sz w:val="28"/>
                <w:szCs w:val="28"/>
                <w:u w:val="single"/>
              </w:rPr>
              <w:t>】</w:t>
            </w:r>
            <w:r>
              <w:rPr>
                <w:rStyle w:val="9"/>
                <w:rFonts w:hint="eastAsia" w:ascii="宋体" w:hAnsi="宋体" w:eastAsia="宋体" w:cs="宋体"/>
                <w:bCs/>
                <w:color w:val="000000"/>
                <w:sz w:val="28"/>
                <w:szCs w:val="28"/>
                <w:u w:val="single"/>
                <w:lang w:val="en-US" w:eastAsia="zh-CN"/>
              </w:rPr>
              <w:t>19</w:t>
            </w:r>
            <w:r>
              <w:rPr>
                <w:rStyle w:val="9"/>
                <w:rFonts w:hint="eastAsia" w:ascii="宋体" w:hAnsi="宋体" w:eastAsia="宋体" w:cs="宋体"/>
                <w:bCs/>
                <w:color w:val="000000"/>
                <w:sz w:val="28"/>
                <w:szCs w:val="28"/>
                <w:u w:val="single"/>
              </w:rPr>
              <w:t>号文关于发布莆田市建设工程人工费动态指数。</w:t>
            </w:r>
          </w:p>
          <w:p>
            <w:pPr>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（2）施工机械台班单价：</w:t>
            </w:r>
            <w:r>
              <w:rPr>
                <w:rStyle w:val="9"/>
                <w:rFonts w:hint="eastAsia" w:ascii="宋体" w:hAnsi="宋体" w:eastAsia="宋体" w:cs="宋体"/>
                <w:bCs/>
                <w:color w:val="000000"/>
                <w:sz w:val="28"/>
                <w:szCs w:val="28"/>
                <w:u w:val="single"/>
              </w:rPr>
              <w:t>福建省2019年3季度机械台班</w:t>
            </w:r>
            <w:r>
              <w:rPr>
                <w:rFonts w:hint="eastAsia" w:ascii="宋体" w:hAnsi="宋体" w:cs="宋体"/>
                <w:sz w:val="28"/>
                <w:szCs w:val="28"/>
                <w:u w:val="single"/>
                <w:lang w:eastAsia="zh-CN"/>
              </w:rPr>
              <w:t>及</w:t>
            </w:r>
            <w:r>
              <w:rPr>
                <w:rFonts w:hint="eastAsia" w:ascii="宋体" w:hAnsi="宋体" w:eastAsia="宋体" w:cs="宋体"/>
                <w:sz w:val="28"/>
                <w:szCs w:val="28"/>
                <w:u w:val="single"/>
                <w:lang w:eastAsia="zh-CN"/>
              </w:rPr>
              <w:t>闽建筑[2022]1号文关于福建省机械台班费用定额调整</w:t>
            </w:r>
            <w:r>
              <w:rPr>
                <w:rStyle w:val="9"/>
                <w:rFonts w:hint="eastAsia" w:ascii="宋体" w:hAnsi="宋体" w:eastAsia="宋体" w:cs="宋体"/>
                <w:bCs/>
                <w:sz w:val="28"/>
                <w:szCs w:val="28"/>
              </w:rPr>
              <w:t>。</w:t>
            </w:r>
          </w:p>
          <w:p>
            <w:pPr>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（3）材料设备价格：</w:t>
            </w:r>
            <w:r>
              <w:rPr>
                <w:rStyle w:val="9"/>
                <w:rFonts w:hint="eastAsia" w:ascii="宋体" w:hAnsi="宋体" w:eastAsia="宋体" w:cs="宋体"/>
                <w:bCs/>
                <w:color w:val="000000"/>
                <w:sz w:val="28"/>
                <w:szCs w:val="28"/>
                <w:u w:val="single"/>
              </w:rPr>
              <w:t>《福建工程造价信息》莆田202</w:t>
            </w:r>
            <w:r>
              <w:rPr>
                <w:rStyle w:val="9"/>
                <w:rFonts w:hint="eastAsia" w:ascii="宋体" w:hAnsi="宋体" w:cs="宋体"/>
                <w:bCs/>
                <w:color w:val="000000"/>
                <w:sz w:val="28"/>
                <w:szCs w:val="28"/>
                <w:u w:val="single"/>
                <w:lang w:val="en-US" w:eastAsia="zh-CN"/>
              </w:rPr>
              <w:t>4</w:t>
            </w:r>
            <w:r>
              <w:rPr>
                <w:rStyle w:val="9"/>
                <w:rFonts w:hint="eastAsia" w:ascii="宋体" w:hAnsi="宋体" w:eastAsia="宋体" w:cs="宋体"/>
                <w:bCs/>
                <w:color w:val="000000"/>
                <w:sz w:val="28"/>
                <w:szCs w:val="28"/>
                <w:u w:val="single"/>
              </w:rPr>
              <w:t>年</w:t>
            </w:r>
            <w:r>
              <w:rPr>
                <w:rFonts w:hint="eastAsia" w:ascii="宋体" w:hAnsi="宋体" w:cs="宋体"/>
                <w:sz w:val="28"/>
                <w:szCs w:val="28"/>
                <w:u w:val="single"/>
                <w:lang w:val="en-US" w:eastAsia="zh-CN"/>
              </w:rPr>
              <w:t>03</w:t>
            </w:r>
            <w:r>
              <w:rPr>
                <w:rFonts w:hint="eastAsia" w:ascii="宋体" w:hAnsi="宋体" w:eastAsia="宋体" w:cs="宋体"/>
                <w:sz w:val="28"/>
                <w:szCs w:val="28"/>
                <w:u w:val="single"/>
              </w:rPr>
              <w:t>月</w:t>
            </w:r>
            <w:r>
              <w:rPr>
                <w:rFonts w:hint="eastAsia" w:ascii="宋体" w:hAnsi="宋体" w:eastAsia="宋体" w:cs="宋体"/>
                <w:sz w:val="28"/>
                <w:szCs w:val="28"/>
                <w:u w:val="single"/>
                <w:lang w:eastAsia="zh-CN"/>
              </w:rPr>
              <w:t>份</w:t>
            </w:r>
            <w:r>
              <w:rPr>
                <w:rFonts w:hint="eastAsia" w:ascii="宋体" w:hAnsi="宋体" w:cs="宋体"/>
                <w:sz w:val="28"/>
                <w:szCs w:val="28"/>
                <w:u w:val="single"/>
                <w:lang w:eastAsia="zh-CN"/>
              </w:rPr>
              <w:t>（</w:t>
            </w:r>
            <w:r>
              <w:rPr>
                <w:rFonts w:hint="eastAsia" w:ascii="宋体" w:hAnsi="宋体" w:cs="宋体"/>
                <w:sz w:val="28"/>
                <w:szCs w:val="28"/>
                <w:u w:val="single"/>
                <w:lang w:val="en-US" w:eastAsia="zh-CN"/>
              </w:rPr>
              <w:t>下半月</w:t>
            </w:r>
            <w:r>
              <w:rPr>
                <w:rFonts w:hint="eastAsia" w:ascii="宋体" w:hAnsi="宋体" w:cs="宋体"/>
                <w:sz w:val="28"/>
                <w:szCs w:val="28"/>
                <w:u w:val="single"/>
                <w:lang w:eastAsia="zh-CN"/>
              </w:rPr>
              <w:t>）</w:t>
            </w:r>
            <w:r>
              <w:rPr>
                <w:rStyle w:val="9"/>
                <w:rFonts w:hint="eastAsia" w:ascii="宋体" w:hAnsi="宋体" w:eastAsia="宋体" w:cs="宋体"/>
                <w:bCs/>
                <w:color w:val="000000"/>
                <w:sz w:val="28"/>
                <w:szCs w:val="28"/>
                <w:u w:val="single"/>
              </w:rPr>
              <w:t>材料综合价格、定额基期价格、询价单</w:t>
            </w:r>
            <w:r>
              <w:rPr>
                <w:rStyle w:val="9"/>
                <w:rFonts w:hint="eastAsia" w:ascii="宋体" w:hAnsi="宋体" w:eastAsia="宋体" w:cs="宋体"/>
                <w:bCs/>
                <w:color w:val="000000"/>
                <w:sz w:val="28"/>
                <w:szCs w:val="28"/>
                <w:u w:val="single"/>
                <w:lang w:eastAsia="zh-CN"/>
              </w:rPr>
              <w:t>等</w:t>
            </w:r>
            <w:r>
              <w:rPr>
                <w:rStyle w:val="9"/>
                <w:rFonts w:hint="eastAsia" w:ascii="宋体" w:hAnsi="宋体" w:eastAsia="宋体" w:cs="宋体"/>
                <w:bCs/>
                <w:sz w:val="28"/>
                <w:szCs w:val="28"/>
              </w:rPr>
              <w:t>。</w:t>
            </w:r>
          </w:p>
          <w:p>
            <w:pPr>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8、其他：</w:t>
            </w:r>
            <w:r>
              <w:rPr>
                <w:rStyle w:val="9"/>
                <w:rFonts w:hint="eastAsia" w:ascii="宋体" w:hAnsi="宋体" w:eastAsia="宋体" w:cs="宋体"/>
                <w:sz w:val="28"/>
                <w:szCs w:val="28"/>
                <w:u w:val="single"/>
              </w:rPr>
              <w:t>本工程施工扬尘防治措施费取费标准按照我省现行总价措施项目费中安全文明施工费取费标准的9.9%执行</w:t>
            </w:r>
            <w:r>
              <w:rPr>
                <w:rStyle w:val="9"/>
                <w:rFonts w:hint="eastAsia" w:ascii="宋体" w:hAnsi="宋体" w:eastAsia="宋体" w:cs="宋体"/>
                <w:bCs/>
                <w:sz w:val="28"/>
                <w:szCs w:val="28"/>
              </w:rPr>
              <w:t>。</w:t>
            </w:r>
          </w:p>
          <w:p>
            <w:pPr>
              <w:numPr>
                <w:ilvl w:val="0"/>
                <w:numId w:val="1"/>
              </w:numPr>
              <w:spacing w:line="520" w:lineRule="exact"/>
              <w:textAlignment w:val="auto"/>
              <w:rPr>
                <w:rStyle w:val="9"/>
                <w:rFonts w:hint="eastAsia" w:ascii="宋体" w:hAnsi="宋体" w:eastAsia="宋体" w:cs="宋体"/>
                <w:b/>
                <w:bCs/>
                <w:sz w:val="28"/>
                <w:szCs w:val="28"/>
              </w:rPr>
            </w:pPr>
            <w:r>
              <w:rPr>
                <w:rStyle w:val="9"/>
                <w:rFonts w:hint="eastAsia" w:ascii="宋体" w:hAnsi="宋体" w:eastAsia="宋体" w:cs="宋体"/>
                <w:b/>
                <w:bCs/>
                <w:sz w:val="28"/>
                <w:szCs w:val="28"/>
              </w:rPr>
              <w:t>取费标准</w:t>
            </w:r>
          </w:p>
          <w:p>
            <w:pPr>
              <w:tabs>
                <w:tab w:val="left" w:pos="432"/>
              </w:tabs>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1.专业类别：</w:t>
            </w:r>
            <w:r>
              <w:rPr>
                <w:rFonts w:hint="eastAsia" w:ascii="宋体" w:hAnsi="宋体" w:eastAsia="宋体" w:cs="宋体"/>
                <w:bCs/>
                <w:color w:val="000000"/>
                <w:sz w:val="28"/>
                <w:szCs w:val="28"/>
                <w:highlight w:val="none"/>
                <w:u w:val="single"/>
                <w:lang w:val="en-US" w:eastAsia="zh-CN"/>
              </w:rPr>
              <w:t>单独发包的装饰工程</w:t>
            </w:r>
            <w:r>
              <w:rPr>
                <w:rFonts w:hint="eastAsia" w:ascii="宋体" w:hAnsi="宋体" w:cs="宋体"/>
                <w:bCs/>
                <w:color w:val="000000"/>
                <w:sz w:val="28"/>
                <w:szCs w:val="28"/>
                <w:highlight w:val="none"/>
                <w:u w:val="single"/>
                <w:lang w:val="en-US" w:eastAsia="zh-CN"/>
              </w:rPr>
              <w:t>（含安装）</w:t>
            </w:r>
            <w:r>
              <w:rPr>
                <w:rStyle w:val="9"/>
                <w:rFonts w:hint="eastAsia" w:ascii="宋体" w:hAnsi="宋体" w:eastAsia="宋体" w:cs="宋体"/>
                <w:bCs/>
                <w:sz w:val="28"/>
                <w:szCs w:val="28"/>
              </w:rPr>
              <w:t>。</w:t>
            </w:r>
          </w:p>
          <w:p>
            <w:pPr>
              <w:tabs>
                <w:tab w:val="left" w:pos="432"/>
              </w:tabs>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2.总承包服务费费率：</w:t>
            </w:r>
            <w:r>
              <w:rPr>
                <w:rStyle w:val="9"/>
                <w:rFonts w:hint="eastAsia" w:ascii="宋体" w:hAnsi="宋体" w:eastAsia="宋体" w:cs="宋体"/>
                <w:bCs/>
                <w:sz w:val="28"/>
                <w:szCs w:val="28"/>
                <w:u w:val="single"/>
              </w:rPr>
              <w:t>不计</w:t>
            </w:r>
            <w:r>
              <w:rPr>
                <w:rStyle w:val="9"/>
                <w:rFonts w:hint="eastAsia" w:ascii="宋体" w:hAnsi="宋体" w:eastAsia="宋体" w:cs="宋体"/>
                <w:bCs/>
                <w:sz w:val="28"/>
                <w:szCs w:val="28"/>
              </w:rPr>
              <w:t>。</w:t>
            </w:r>
          </w:p>
          <w:p>
            <w:pPr>
              <w:tabs>
                <w:tab w:val="left" w:pos="432"/>
              </w:tabs>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3.税率：</w:t>
            </w:r>
            <w:r>
              <w:rPr>
                <w:rStyle w:val="9"/>
                <w:rFonts w:hint="eastAsia" w:ascii="宋体" w:hAnsi="宋体" w:eastAsia="宋体" w:cs="宋体"/>
                <w:bCs/>
                <w:sz w:val="28"/>
                <w:szCs w:val="28"/>
                <w:u w:val="single"/>
              </w:rPr>
              <w:t>9%</w:t>
            </w:r>
            <w:r>
              <w:rPr>
                <w:rStyle w:val="9"/>
                <w:rFonts w:hint="eastAsia" w:ascii="宋体" w:hAnsi="宋体" w:eastAsia="宋体" w:cs="宋体"/>
                <w:bCs/>
                <w:sz w:val="28"/>
                <w:szCs w:val="28"/>
              </w:rPr>
              <w:t>。</w:t>
            </w:r>
          </w:p>
          <w:p>
            <w:pPr>
              <w:numPr>
                <w:ilvl w:val="0"/>
                <w:numId w:val="1"/>
              </w:numPr>
              <w:tabs>
                <w:tab w:val="left" w:pos="602"/>
              </w:tabs>
              <w:spacing w:line="520" w:lineRule="exact"/>
              <w:textAlignment w:val="auto"/>
              <w:rPr>
                <w:rStyle w:val="9"/>
                <w:rFonts w:hint="eastAsia" w:ascii="宋体" w:hAnsi="宋体" w:eastAsia="宋体" w:cs="宋体"/>
                <w:b/>
                <w:bCs/>
                <w:sz w:val="28"/>
                <w:szCs w:val="28"/>
              </w:rPr>
            </w:pPr>
            <w:r>
              <w:rPr>
                <w:rStyle w:val="9"/>
                <w:rFonts w:hint="eastAsia" w:ascii="宋体" w:hAnsi="宋体" w:eastAsia="宋体" w:cs="宋体"/>
                <w:b/>
                <w:bCs/>
                <w:sz w:val="28"/>
                <w:szCs w:val="28"/>
              </w:rPr>
              <w:t>施工方法与措施（仅供投标人参考，投标人自行确定方案，自主报价）</w:t>
            </w:r>
          </w:p>
          <w:p>
            <w:pPr>
              <w:spacing w:line="520" w:lineRule="exact"/>
              <w:ind w:firstLine="560" w:firstLineChars="200"/>
              <w:textAlignment w:val="auto"/>
              <w:rPr>
                <w:rStyle w:val="9"/>
                <w:rFonts w:hint="eastAsia" w:ascii="宋体" w:hAnsi="宋体" w:eastAsia="宋体" w:cs="宋体"/>
                <w:bCs/>
                <w:sz w:val="28"/>
                <w:szCs w:val="28"/>
                <w:u w:val="single"/>
              </w:rPr>
            </w:pPr>
            <w:r>
              <w:rPr>
                <w:rStyle w:val="9"/>
                <w:rFonts w:hint="eastAsia" w:ascii="宋体" w:hAnsi="宋体" w:eastAsia="宋体" w:cs="宋体"/>
                <w:bCs/>
                <w:sz w:val="28"/>
                <w:szCs w:val="28"/>
              </w:rPr>
              <w:t>1.土</w:t>
            </w:r>
            <w:r>
              <w:rPr>
                <w:rFonts w:hint="eastAsia" w:ascii="宋体" w:hAnsi="宋体" w:eastAsia="宋体" w:cs="宋体"/>
                <w:bCs/>
                <w:sz w:val="28"/>
                <w:szCs w:val="28"/>
              </w:rPr>
              <w:t>石</w:t>
            </w:r>
            <w:r>
              <w:rPr>
                <w:rStyle w:val="9"/>
                <w:rFonts w:hint="eastAsia" w:ascii="宋体" w:hAnsi="宋体" w:eastAsia="宋体" w:cs="宋体"/>
                <w:bCs/>
                <w:sz w:val="28"/>
                <w:szCs w:val="28"/>
              </w:rPr>
              <w:t>方工程：</w:t>
            </w:r>
            <w:r>
              <w:rPr>
                <w:rFonts w:hint="eastAsia" w:ascii="宋体" w:hAnsi="宋体" w:eastAsia="宋体" w:cs="宋体"/>
                <w:bCs/>
                <w:sz w:val="28"/>
                <w:szCs w:val="28"/>
                <w:u w:val="single"/>
                <w:lang w:eastAsia="zh-CN"/>
              </w:rPr>
              <w:t>垃圾外运，运距</w:t>
            </w:r>
            <w:r>
              <w:rPr>
                <w:rFonts w:hint="eastAsia" w:ascii="宋体" w:hAnsi="宋体" w:eastAsia="宋体" w:cs="宋体"/>
                <w:bCs/>
                <w:sz w:val="28"/>
                <w:szCs w:val="28"/>
                <w:u w:val="single"/>
                <w:lang w:val="en-US" w:eastAsia="zh-CN"/>
              </w:rPr>
              <w:t>3KM</w:t>
            </w:r>
            <w:r>
              <w:rPr>
                <w:rFonts w:hint="eastAsia" w:ascii="宋体" w:hAnsi="宋体" w:eastAsia="宋体" w:cs="宋体"/>
                <w:bCs/>
                <w:sz w:val="28"/>
                <w:szCs w:val="28"/>
                <w:u w:val="single"/>
              </w:rPr>
              <w:t>。</w:t>
            </w:r>
          </w:p>
          <w:p>
            <w:pPr>
              <w:spacing w:line="520" w:lineRule="exact"/>
              <w:ind w:firstLine="560" w:firstLineChars="200"/>
              <w:textAlignment w:val="auto"/>
              <w:rPr>
                <w:rStyle w:val="9"/>
                <w:rFonts w:hint="eastAsia" w:ascii="宋体" w:hAnsi="宋体" w:eastAsia="宋体" w:cs="宋体"/>
                <w:bCs/>
                <w:sz w:val="28"/>
                <w:szCs w:val="28"/>
                <w:u w:val="single"/>
              </w:rPr>
            </w:pPr>
            <w:r>
              <w:rPr>
                <w:rStyle w:val="9"/>
                <w:rFonts w:hint="eastAsia" w:ascii="宋体" w:hAnsi="宋体" w:eastAsia="宋体" w:cs="宋体"/>
                <w:bCs/>
                <w:sz w:val="28"/>
                <w:szCs w:val="28"/>
              </w:rPr>
              <w:t>2.桩基工程：</w:t>
            </w:r>
            <w:r>
              <w:rPr>
                <w:rStyle w:val="9"/>
                <w:rFonts w:hint="eastAsia" w:ascii="宋体" w:hAnsi="宋体" w:eastAsia="宋体" w:cs="宋体"/>
                <w:bCs/>
                <w:sz w:val="28"/>
                <w:szCs w:val="28"/>
                <w:u w:val="single"/>
              </w:rPr>
              <w:t>无</w:t>
            </w:r>
            <w:r>
              <w:rPr>
                <w:rStyle w:val="9"/>
                <w:rFonts w:hint="eastAsia" w:ascii="宋体" w:hAnsi="宋体" w:eastAsia="宋体" w:cs="宋体"/>
                <w:bCs/>
                <w:sz w:val="28"/>
                <w:szCs w:val="28"/>
              </w:rPr>
              <w:t>。</w:t>
            </w:r>
          </w:p>
          <w:p>
            <w:pPr>
              <w:spacing w:line="520" w:lineRule="exact"/>
              <w:ind w:firstLine="560" w:firstLineChars="200"/>
              <w:textAlignment w:val="auto"/>
              <w:rPr>
                <w:rStyle w:val="9"/>
                <w:rFonts w:hint="eastAsia" w:ascii="宋体" w:hAnsi="宋体" w:eastAsia="宋体" w:cs="宋体"/>
                <w:sz w:val="28"/>
                <w:szCs w:val="28"/>
                <w:highlight w:val="none"/>
                <w:u w:val="single"/>
              </w:rPr>
            </w:pPr>
            <w:r>
              <w:rPr>
                <w:rStyle w:val="9"/>
                <w:rFonts w:hint="eastAsia" w:ascii="宋体" w:hAnsi="宋体" w:eastAsia="宋体" w:cs="宋体"/>
                <w:bCs/>
                <w:sz w:val="28"/>
                <w:szCs w:val="28"/>
                <w:highlight w:val="none"/>
              </w:rPr>
              <w:t>3.混凝土模板及支架：</w:t>
            </w:r>
            <w:r>
              <w:rPr>
                <w:rStyle w:val="9"/>
                <w:rFonts w:hint="eastAsia" w:ascii="宋体" w:hAnsi="宋体" w:eastAsia="宋体" w:cs="宋体"/>
                <w:bCs/>
                <w:sz w:val="28"/>
                <w:szCs w:val="28"/>
                <w:u w:val="single"/>
              </w:rPr>
              <w:t>无</w:t>
            </w:r>
            <w:r>
              <w:rPr>
                <w:rStyle w:val="9"/>
                <w:rFonts w:hint="eastAsia" w:ascii="宋体" w:hAnsi="宋体" w:eastAsia="宋体" w:cs="宋体"/>
                <w:sz w:val="28"/>
                <w:szCs w:val="28"/>
                <w:highlight w:val="none"/>
                <w:u w:val="single"/>
              </w:rPr>
              <w:t>。</w:t>
            </w:r>
          </w:p>
          <w:p>
            <w:pPr>
              <w:spacing w:line="520" w:lineRule="exact"/>
              <w:ind w:firstLine="560" w:firstLineChars="200"/>
              <w:textAlignment w:val="auto"/>
              <w:rPr>
                <w:rStyle w:val="9"/>
                <w:rFonts w:hint="eastAsia" w:ascii="宋体" w:hAnsi="宋体" w:eastAsia="宋体" w:cs="宋体"/>
                <w:bCs/>
                <w:sz w:val="28"/>
                <w:szCs w:val="28"/>
                <w:highlight w:val="none"/>
              </w:rPr>
            </w:pPr>
            <w:r>
              <w:rPr>
                <w:rStyle w:val="9"/>
                <w:rFonts w:hint="eastAsia" w:ascii="宋体" w:hAnsi="宋体" w:eastAsia="宋体" w:cs="宋体"/>
                <w:bCs/>
                <w:sz w:val="28"/>
                <w:szCs w:val="28"/>
                <w:highlight w:val="none"/>
              </w:rPr>
              <w:t>4.脚手架：</w:t>
            </w:r>
            <w:r>
              <w:rPr>
                <w:rStyle w:val="9"/>
                <w:rFonts w:hint="eastAsia" w:ascii="宋体" w:hAnsi="宋体" w:eastAsia="宋体" w:cs="宋体"/>
                <w:bCs/>
                <w:sz w:val="28"/>
                <w:szCs w:val="28"/>
                <w:u w:val="single"/>
              </w:rPr>
              <w:t>无</w:t>
            </w:r>
            <w:r>
              <w:rPr>
                <w:rStyle w:val="9"/>
                <w:rFonts w:hint="eastAsia" w:ascii="宋体" w:hAnsi="宋体" w:eastAsia="宋体" w:cs="宋体"/>
                <w:bCs/>
                <w:sz w:val="28"/>
                <w:szCs w:val="28"/>
                <w:highlight w:val="none"/>
              </w:rPr>
              <w:t>。</w:t>
            </w:r>
          </w:p>
          <w:p>
            <w:pPr>
              <w:spacing w:line="520" w:lineRule="exact"/>
              <w:ind w:firstLine="560" w:firstLineChars="200"/>
              <w:textAlignment w:val="auto"/>
              <w:rPr>
                <w:rStyle w:val="9"/>
                <w:rFonts w:hint="eastAsia" w:ascii="宋体" w:hAnsi="宋体" w:eastAsia="宋体" w:cs="宋体"/>
                <w:bCs/>
                <w:sz w:val="28"/>
                <w:szCs w:val="28"/>
                <w:u w:val="single"/>
              </w:rPr>
            </w:pPr>
            <w:r>
              <w:rPr>
                <w:rStyle w:val="9"/>
                <w:rFonts w:hint="eastAsia" w:ascii="宋体" w:hAnsi="宋体" w:eastAsia="宋体" w:cs="宋体"/>
                <w:bCs/>
                <w:sz w:val="28"/>
                <w:szCs w:val="28"/>
              </w:rPr>
              <w:t>5.施工排水、降水：</w:t>
            </w:r>
            <w:r>
              <w:rPr>
                <w:rStyle w:val="9"/>
                <w:rFonts w:hint="eastAsia" w:ascii="宋体" w:hAnsi="宋体" w:eastAsia="宋体" w:cs="宋体"/>
                <w:bCs/>
                <w:sz w:val="28"/>
                <w:szCs w:val="28"/>
                <w:u w:val="single"/>
              </w:rPr>
              <w:t>无</w:t>
            </w:r>
            <w:r>
              <w:rPr>
                <w:rStyle w:val="9"/>
                <w:rFonts w:hint="eastAsia" w:ascii="宋体" w:hAnsi="宋体" w:eastAsia="宋体" w:cs="宋体"/>
                <w:sz w:val="28"/>
                <w:szCs w:val="28"/>
                <w:u w:val="single"/>
              </w:rPr>
              <w:t>。</w:t>
            </w:r>
          </w:p>
          <w:p>
            <w:pPr>
              <w:spacing w:line="520" w:lineRule="exact"/>
              <w:ind w:firstLine="560" w:firstLineChars="200"/>
              <w:textAlignment w:val="auto"/>
              <w:rPr>
                <w:rStyle w:val="9"/>
                <w:rFonts w:hint="eastAsia" w:ascii="宋体" w:hAnsi="宋体" w:eastAsia="宋体" w:cs="宋体"/>
                <w:bCs/>
                <w:sz w:val="28"/>
                <w:szCs w:val="28"/>
                <w:u w:val="single"/>
              </w:rPr>
            </w:pPr>
            <w:r>
              <w:rPr>
                <w:rStyle w:val="9"/>
                <w:rFonts w:hint="eastAsia" w:ascii="宋体" w:hAnsi="宋体" w:eastAsia="宋体" w:cs="宋体"/>
                <w:bCs/>
                <w:sz w:val="28"/>
                <w:szCs w:val="28"/>
              </w:rPr>
              <w:t>6.垂直运输：</w:t>
            </w:r>
            <w:r>
              <w:rPr>
                <w:rStyle w:val="9"/>
                <w:rFonts w:hint="eastAsia" w:ascii="宋体" w:hAnsi="宋体" w:eastAsia="宋体" w:cs="宋体"/>
                <w:bCs/>
                <w:sz w:val="28"/>
                <w:szCs w:val="28"/>
                <w:u w:val="single"/>
              </w:rPr>
              <w:t>无</w:t>
            </w:r>
            <w:r>
              <w:rPr>
                <w:rStyle w:val="9"/>
                <w:rFonts w:hint="eastAsia" w:ascii="宋体" w:hAnsi="宋体" w:eastAsia="宋体" w:cs="宋体"/>
                <w:bCs/>
                <w:sz w:val="28"/>
                <w:szCs w:val="28"/>
              </w:rPr>
              <w:t>。</w:t>
            </w:r>
          </w:p>
          <w:p>
            <w:pPr>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7.大型机械设备进出场及安拆：</w:t>
            </w:r>
            <w:r>
              <w:rPr>
                <w:rStyle w:val="9"/>
                <w:rFonts w:hint="eastAsia" w:ascii="宋体" w:hAnsi="宋体" w:eastAsia="宋体" w:cs="宋体"/>
                <w:bCs/>
                <w:sz w:val="28"/>
                <w:szCs w:val="28"/>
                <w:u w:val="single"/>
              </w:rPr>
              <w:t>无</w:t>
            </w:r>
            <w:r>
              <w:rPr>
                <w:rStyle w:val="9"/>
                <w:rFonts w:hint="eastAsia" w:ascii="宋体" w:hAnsi="宋体" w:eastAsia="宋体" w:cs="宋体"/>
                <w:bCs/>
                <w:sz w:val="28"/>
                <w:szCs w:val="28"/>
              </w:rPr>
              <w:t>；大型机械设备基础：</w:t>
            </w:r>
            <w:r>
              <w:rPr>
                <w:rStyle w:val="9"/>
                <w:rFonts w:hint="eastAsia" w:ascii="宋体" w:hAnsi="宋体" w:eastAsia="宋体" w:cs="宋体"/>
                <w:bCs/>
                <w:sz w:val="28"/>
                <w:szCs w:val="28"/>
                <w:u w:val="single"/>
              </w:rPr>
              <w:t>无</w:t>
            </w:r>
            <w:r>
              <w:rPr>
                <w:rStyle w:val="9"/>
                <w:rFonts w:hint="eastAsia" w:ascii="宋体" w:hAnsi="宋体" w:eastAsia="宋体" w:cs="宋体"/>
                <w:bCs/>
                <w:sz w:val="28"/>
                <w:szCs w:val="28"/>
              </w:rPr>
              <w:t>；大型机械设备检测：</w:t>
            </w:r>
            <w:r>
              <w:rPr>
                <w:rStyle w:val="9"/>
                <w:rFonts w:hint="eastAsia" w:ascii="宋体" w:hAnsi="宋体" w:eastAsia="宋体" w:cs="宋体"/>
                <w:bCs/>
                <w:sz w:val="28"/>
                <w:szCs w:val="28"/>
                <w:u w:val="single"/>
              </w:rPr>
              <w:t>无</w:t>
            </w:r>
            <w:r>
              <w:rPr>
                <w:rStyle w:val="9"/>
                <w:rFonts w:hint="eastAsia" w:ascii="宋体" w:hAnsi="宋体" w:eastAsia="宋体" w:cs="宋体"/>
                <w:bCs/>
                <w:sz w:val="28"/>
                <w:szCs w:val="28"/>
              </w:rPr>
              <w:t>。</w:t>
            </w:r>
          </w:p>
          <w:p>
            <w:pPr>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8.基坑支护工程拆除：</w:t>
            </w:r>
            <w:r>
              <w:rPr>
                <w:rStyle w:val="9"/>
                <w:rFonts w:hint="eastAsia" w:ascii="宋体" w:hAnsi="宋体" w:cs="宋体"/>
                <w:sz w:val="28"/>
                <w:szCs w:val="28"/>
                <w:u w:val="single"/>
                <w:lang w:eastAsia="zh-CN"/>
              </w:rPr>
              <w:t>无</w:t>
            </w:r>
            <w:r>
              <w:rPr>
                <w:rStyle w:val="9"/>
                <w:rFonts w:hint="eastAsia" w:ascii="宋体" w:hAnsi="宋体" w:eastAsia="宋体" w:cs="宋体"/>
                <w:bCs/>
                <w:sz w:val="28"/>
                <w:szCs w:val="28"/>
              </w:rPr>
              <w:t>。</w:t>
            </w:r>
          </w:p>
          <w:p>
            <w:pPr>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9.材料二次搬运：</w:t>
            </w:r>
            <w:r>
              <w:rPr>
                <w:rStyle w:val="9"/>
                <w:rFonts w:hint="eastAsia" w:ascii="宋体" w:hAnsi="宋体" w:cs="宋体"/>
                <w:sz w:val="28"/>
                <w:szCs w:val="28"/>
                <w:u w:val="single"/>
                <w:lang w:eastAsia="zh-CN"/>
              </w:rPr>
              <w:t>无</w:t>
            </w:r>
            <w:r>
              <w:rPr>
                <w:rStyle w:val="9"/>
                <w:rFonts w:hint="eastAsia" w:ascii="宋体" w:hAnsi="宋体" w:eastAsia="宋体" w:cs="宋体"/>
                <w:bCs/>
                <w:sz w:val="28"/>
                <w:szCs w:val="28"/>
              </w:rPr>
              <w:t>。</w:t>
            </w:r>
          </w:p>
          <w:p>
            <w:pPr>
              <w:spacing w:line="520" w:lineRule="exact"/>
              <w:ind w:firstLine="560" w:firstLineChars="200"/>
              <w:textAlignment w:val="auto"/>
              <w:rPr>
                <w:rStyle w:val="9"/>
                <w:rFonts w:hint="eastAsia" w:ascii="宋体" w:hAnsi="宋体" w:eastAsia="宋体" w:cs="宋体"/>
                <w:bCs/>
                <w:sz w:val="28"/>
                <w:szCs w:val="28"/>
              </w:rPr>
            </w:pPr>
            <w:r>
              <w:rPr>
                <w:rStyle w:val="9"/>
                <w:rFonts w:hint="eastAsia" w:ascii="宋体" w:hAnsi="宋体" w:eastAsia="宋体" w:cs="宋体"/>
                <w:bCs/>
                <w:sz w:val="28"/>
                <w:szCs w:val="28"/>
              </w:rPr>
              <w:t>10.其他：</w:t>
            </w:r>
            <w:r>
              <w:rPr>
                <w:rStyle w:val="9"/>
                <w:rFonts w:hint="eastAsia" w:ascii="宋体" w:hAnsi="宋体" w:eastAsia="宋体" w:cs="宋体"/>
                <w:bCs/>
                <w:sz w:val="28"/>
                <w:szCs w:val="28"/>
                <w:u w:val="single"/>
              </w:rPr>
              <w:t>无</w:t>
            </w:r>
            <w:r>
              <w:rPr>
                <w:rStyle w:val="9"/>
                <w:rFonts w:hint="eastAsia" w:ascii="宋体" w:hAnsi="宋体" w:eastAsia="宋体" w:cs="宋体"/>
                <w:bCs/>
                <w:sz w:val="28"/>
                <w:szCs w:val="28"/>
              </w:rPr>
              <w:t>。</w:t>
            </w:r>
          </w:p>
          <w:p>
            <w:pPr>
              <w:numPr>
                <w:ilvl w:val="0"/>
                <w:numId w:val="1"/>
              </w:numPr>
              <w:spacing w:line="520" w:lineRule="exact"/>
              <w:textAlignment w:val="auto"/>
              <w:rPr>
                <w:rStyle w:val="9"/>
                <w:rFonts w:hint="eastAsia" w:ascii="宋体" w:hAnsi="宋体" w:eastAsia="宋体" w:cs="宋体"/>
                <w:b/>
                <w:bCs/>
                <w:sz w:val="28"/>
                <w:szCs w:val="28"/>
              </w:rPr>
            </w:pPr>
            <w:r>
              <w:rPr>
                <w:rStyle w:val="9"/>
                <w:rFonts w:hint="eastAsia" w:ascii="宋体" w:hAnsi="宋体" w:eastAsia="宋体" w:cs="宋体"/>
                <w:b/>
                <w:bCs/>
                <w:spacing w:val="-2"/>
                <w:sz w:val="28"/>
                <w:szCs w:val="28"/>
              </w:rPr>
              <w:t>材料设备品牌及甲供材料</w:t>
            </w:r>
          </w:p>
          <w:p>
            <w:pPr>
              <w:spacing w:line="520" w:lineRule="exact"/>
              <w:ind w:firstLine="560" w:firstLineChars="200"/>
              <w:textAlignment w:val="auto"/>
              <w:rPr>
                <w:rStyle w:val="9"/>
                <w:rFonts w:hint="eastAsia" w:ascii="宋体" w:hAnsi="宋体" w:eastAsia="宋体" w:cs="宋体"/>
                <w:sz w:val="28"/>
                <w:szCs w:val="28"/>
              </w:rPr>
            </w:pPr>
            <w:r>
              <w:rPr>
                <w:rStyle w:val="9"/>
                <w:rFonts w:hint="eastAsia" w:ascii="宋体" w:hAnsi="宋体" w:eastAsia="宋体" w:cs="宋体"/>
                <w:bCs/>
                <w:sz w:val="28"/>
                <w:szCs w:val="28"/>
              </w:rPr>
              <w:t>1、本控制价取定的</w:t>
            </w:r>
            <w:r>
              <w:rPr>
                <w:rStyle w:val="9"/>
                <w:rFonts w:hint="eastAsia" w:ascii="宋体" w:hAnsi="宋体" w:eastAsia="宋体" w:cs="宋体"/>
                <w:sz w:val="28"/>
                <w:szCs w:val="28"/>
              </w:rPr>
              <w:t>材料设备品牌</w:t>
            </w:r>
          </w:p>
          <w:tbl>
            <w:tblPr>
              <w:tblStyle w:val="5"/>
              <w:tblW w:w="8545"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2"/>
              <w:gridCol w:w="1758"/>
              <w:gridCol w:w="2573"/>
              <w:gridCol w:w="1732"/>
              <w:gridCol w:w="9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1552"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both"/>
                    <w:textAlignment w:val="auto"/>
                    <w:rPr>
                      <w:rStyle w:val="9"/>
                      <w:rFonts w:hint="eastAsia" w:ascii="宋体" w:hAnsi="宋体" w:eastAsia="宋体" w:cs="宋体"/>
                      <w:color w:val="auto"/>
                      <w:sz w:val="28"/>
                      <w:szCs w:val="28"/>
                    </w:rPr>
                  </w:pPr>
                  <w:r>
                    <w:rPr>
                      <w:rStyle w:val="9"/>
                      <w:rFonts w:hint="eastAsia" w:ascii="宋体" w:hAnsi="宋体" w:eastAsia="宋体" w:cs="宋体"/>
                      <w:color w:val="auto"/>
                      <w:sz w:val="28"/>
                      <w:szCs w:val="28"/>
                    </w:rPr>
                    <w:t>名称</w:t>
                  </w:r>
                </w:p>
              </w:tc>
              <w:tc>
                <w:tcPr>
                  <w:tcW w:w="1758"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both"/>
                    <w:textAlignment w:val="auto"/>
                    <w:rPr>
                      <w:rStyle w:val="9"/>
                      <w:rFonts w:hint="eastAsia" w:ascii="宋体" w:hAnsi="宋体" w:eastAsia="宋体" w:cs="宋体"/>
                      <w:color w:val="auto"/>
                      <w:sz w:val="28"/>
                      <w:szCs w:val="28"/>
                    </w:rPr>
                  </w:pPr>
                  <w:r>
                    <w:rPr>
                      <w:rStyle w:val="9"/>
                      <w:rFonts w:hint="eastAsia" w:ascii="宋体" w:hAnsi="宋体" w:eastAsia="宋体" w:cs="宋体"/>
                      <w:color w:val="auto"/>
                      <w:sz w:val="28"/>
                      <w:szCs w:val="28"/>
                    </w:rPr>
                    <w:t>规格、型号</w:t>
                  </w:r>
                </w:p>
              </w:tc>
              <w:tc>
                <w:tcPr>
                  <w:tcW w:w="2573"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both"/>
                    <w:textAlignment w:val="auto"/>
                    <w:rPr>
                      <w:rStyle w:val="9"/>
                      <w:rFonts w:hint="eastAsia" w:ascii="宋体" w:hAnsi="宋体" w:eastAsia="宋体" w:cs="宋体"/>
                      <w:color w:val="auto"/>
                      <w:sz w:val="28"/>
                      <w:szCs w:val="28"/>
                    </w:rPr>
                  </w:pPr>
                  <w:r>
                    <w:rPr>
                      <w:rStyle w:val="9"/>
                      <w:rFonts w:hint="eastAsia" w:ascii="宋体" w:hAnsi="宋体" w:eastAsia="宋体" w:cs="宋体"/>
                      <w:color w:val="auto"/>
                      <w:sz w:val="28"/>
                      <w:szCs w:val="28"/>
                    </w:rPr>
                    <w:t>招标人要求的品牌</w:t>
                  </w:r>
                </w:p>
              </w:tc>
              <w:tc>
                <w:tcPr>
                  <w:tcW w:w="1732"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both"/>
                    <w:textAlignment w:val="auto"/>
                    <w:rPr>
                      <w:rStyle w:val="9"/>
                      <w:rFonts w:hint="eastAsia" w:ascii="宋体" w:hAnsi="宋体" w:eastAsia="宋体" w:cs="宋体"/>
                      <w:color w:val="auto"/>
                      <w:sz w:val="28"/>
                      <w:szCs w:val="28"/>
                    </w:rPr>
                  </w:pPr>
                  <w:r>
                    <w:rPr>
                      <w:rStyle w:val="9"/>
                      <w:rFonts w:hint="eastAsia" w:ascii="宋体" w:hAnsi="宋体" w:eastAsia="宋体" w:cs="宋体"/>
                      <w:color w:val="auto"/>
                      <w:sz w:val="28"/>
                      <w:szCs w:val="28"/>
                    </w:rPr>
                    <w:t>控制价取定的品牌</w:t>
                  </w:r>
                </w:p>
              </w:tc>
              <w:tc>
                <w:tcPr>
                  <w:tcW w:w="93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r>
                    <w:rPr>
                      <w:rStyle w:val="9"/>
                      <w:rFonts w:hint="eastAsia" w:ascii="宋体" w:hAnsi="宋体" w:eastAsia="宋体" w:cs="宋体"/>
                      <w:sz w:val="28"/>
                      <w:szCs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55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灯具</w:t>
                  </w:r>
                </w:p>
              </w:tc>
              <w:tc>
                <w:tcPr>
                  <w:tcW w:w="17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按设计规范及要求</w:t>
                  </w:r>
                </w:p>
              </w:tc>
              <w:tc>
                <w:tcPr>
                  <w:tcW w:w="257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闽熠、超豪光电、蕾雨</w:t>
                  </w:r>
                </w:p>
              </w:tc>
              <w:tc>
                <w:tcPr>
                  <w:tcW w:w="1732" w:type="dxa"/>
                  <w:tcBorders>
                    <w:top w:val="single" w:color="000000" w:sz="4" w:space="0"/>
                    <w:left w:val="single" w:color="000000" w:sz="4" w:space="0"/>
                    <w:bottom w:val="single" w:color="000000" w:sz="4" w:space="0"/>
                    <w:right w:val="single" w:color="000000" w:sz="4" w:space="0"/>
                  </w:tcBorders>
                  <w:vAlign w:val="top"/>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闽熠</w:t>
                  </w:r>
                </w:p>
              </w:tc>
              <w:tc>
                <w:tcPr>
                  <w:tcW w:w="93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155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配电箱</w:t>
                  </w:r>
                </w:p>
              </w:tc>
              <w:tc>
                <w:tcPr>
                  <w:tcW w:w="17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按设计规范及要求</w:t>
                  </w:r>
                </w:p>
              </w:tc>
              <w:tc>
                <w:tcPr>
                  <w:tcW w:w="257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NANCOME、国强、朝业</w:t>
                  </w:r>
                </w:p>
              </w:tc>
              <w:tc>
                <w:tcPr>
                  <w:tcW w:w="1732" w:type="dxa"/>
                  <w:tcBorders>
                    <w:top w:val="single" w:color="000000" w:sz="4" w:space="0"/>
                    <w:left w:val="single" w:color="000000" w:sz="4" w:space="0"/>
                    <w:bottom w:val="single" w:color="000000" w:sz="4" w:space="0"/>
                    <w:right w:val="single" w:color="000000" w:sz="4" w:space="0"/>
                  </w:tcBorders>
                  <w:vAlign w:val="top"/>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NANCOME</w:t>
                  </w:r>
                </w:p>
              </w:tc>
              <w:tc>
                <w:tcPr>
                  <w:tcW w:w="93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5" w:hRule="atLeast"/>
              </w:trPr>
              <w:tc>
                <w:tcPr>
                  <w:tcW w:w="155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电线电缆</w:t>
                  </w:r>
                </w:p>
              </w:tc>
              <w:tc>
                <w:tcPr>
                  <w:tcW w:w="17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按设计规范及要求</w:t>
                  </w:r>
                </w:p>
              </w:tc>
              <w:tc>
                <w:tcPr>
                  <w:tcW w:w="257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太阳、超阳、彩兰</w:t>
                  </w:r>
                </w:p>
              </w:tc>
              <w:tc>
                <w:tcPr>
                  <w:tcW w:w="1732" w:type="dxa"/>
                  <w:tcBorders>
                    <w:top w:val="single" w:color="000000" w:sz="4" w:space="0"/>
                    <w:left w:val="single" w:color="000000" w:sz="4" w:space="0"/>
                    <w:bottom w:val="single" w:color="000000" w:sz="4" w:space="0"/>
                    <w:right w:val="single" w:color="000000" w:sz="4" w:space="0"/>
                  </w:tcBorders>
                  <w:vAlign w:val="top"/>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太阳</w:t>
                  </w:r>
                </w:p>
              </w:tc>
              <w:tc>
                <w:tcPr>
                  <w:tcW w:w="93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5" w:hRule="atLeast"/>
              </w:trPr>
              <w:tc>
                <w:tcPr>
                  <w:tcW w:w="155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显示设备</w:t>
                  </w:r>
                </w:p>
              </w:tc>
              <w:tc>
                <w:tcPr>
                  <w:tcW w:w="17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按设计规范及要求</w:t>
                  </w:r>
                </w:p>
              </w:tc>
              <w:tc>
                <w:tcPr>
                  <w:tcW w:w="257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艾比森、大华、海康</w:t>
                  </w:r>
                </w:p>
              </w:tc>
              <w:tc>
                <w:tcPr>
                  <w:tcW w:w="1732" w:type="dxa"/>
                  <w:tcBorders>
                    <w:top w:val="single" w:color="000000" w:sz="4" w:space="0"/>
                    <w:left w:val="single" w:color="000000" w:sz="4" w:space="0"/>
                    <w:bottom w:val="single" w:color="000000" w:sz="4" w:space="0"/>
                    <w:right w:val="single" w:color="000000" w:sz="4" w:space="0"/>
                  </w:tcBorders>
                  <w:vAlign w:val="top"/>
                </w:tcPr>
                <w:p>
                  <w:pPr>
                    <w:spacing w:line="400" w:lineRule="exact"/>
                    <w:jc w:val="center"/>
                    <w:rPr>
                      <w:rFonts w:hint="default"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艾比森</w:t>
                  </w:r>
                </w:p>
              </w:tc>
              <w:tc>
                <w:tcPr>
                  <w:tcW w:w="93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5" w:hRule="atLeast"/>
              </w:trPr>
              <w:tc>
                <w:tcPr>
                  <w:tcW w:w="155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电脑</w:t>
                  </w:r>
                </w:p>
              </w:tc>
              <w:tc>
                <w:tcPr>
                  <w:tcW w:w="17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按设计规范及要求</w:t>
                  </w:r>
                </w:p>
              </w:tc>
              <w:tc>
                <w:tcPr>
                  <w:tcW w:w="257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戴尔、华硕、惠普</w:t>
                  </w:r>
                </w:p>
              </w:tc>
              <w:tc>
                <w:tcPr>
                  <w:tcW w:w="1732" w:type="dxa"/>
                  <w:tcBorders>
                    <w:top w:val="single" w:color="000000" w:sz="4" w:space="0"/>
                    <w:left w:val="single" w:color="000000" w:sz="4" w:space="0"/>
                    <w:bottom w:val="single" w:color="000000" w:sz="4" w:space="0"/>
                    <w:right w:val="single" w:color="000000" w:sz="4" w:space="0"/>
                  </w:tcBorders>
                  <w:vAlign w:val="top"/>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戴尔</w:t>
                  </w:r>
                </w:p>
              </w:tc>
              <w:tc>
                <w:tcPr>
                  <w:tcW w:w="93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5" w:hRule="atLeast"/>
              </w:trPr>
              <w:tc>
                <w:tcPr>
                  <w:tcW w:w="155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打印机</w:t>
                  </w:r>
                </w:p>
              </w:tc>
              <w:tc>
                <w:tcPr>
                  <w:tcW w:w="17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按设计规范及要求</w:t>
                  </w:r>
                </w:p>
              </w:tc>
              <w:tc>
                <w:tcPr>
                  <w:tcW w:w="257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惠普、佳能、爱普生</w:t>
                  </w:r>
                </w:p>
              </w:tc>
              <w:tc>
                <w:tcPr>
                  <w:tcW w:w="1732" w:type="dxa"/>
                  <w:tcBorders>
                    <w:top w:val="single" w:color="000000" w:sz="4" w:space="0"/>
                    <w:left w:val="single" w:color="000000" w:sz="4" w:space="0"/>
                    <w:bottom w:val="single" w:color="000000" w:sz="4" w:space="0"/>
                    <w:right w:val="single" w:color="000000" w:sz="4" w:space="0"/>
                  </w:tcBorders>
                  <w:vAlign w:val="top"/>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惠普</w:t>
                  </w:r>
                </w:p>
              </w:tc>
              <w:tc>
                <w:tcPr>
                  <w:tcW w:w="93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5" w:hRule="atLeast"/>
              </w:trPr>
              <w:tc>
                <w:tcPr>
                  <w:tcW w:w="155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default"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瓷砖</w:t>
                  </w:r>
                </w:p>
              </w:tc>
              <w:tc>
                <w:tcPr>
                  <w:tcW w:w="17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default"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800*800</w:t>
                  </w:r>
                </w:p>
              </w:tc>
              <w:tc>
                <w:tcPr>
                  <w:tcW w:w="257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default"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蒙娜丽莎、马可波罗、诺贝尔</w:t>
                  </w:r>
                </w:p>
              </w:tc>
              <w:tc>
                <w:tcPr>
                  <w:tcW w:w="173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p>
              </w:tc>
              <w:tc>
                <w:tcPr>
                  <w:tcW w:w="93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5" w:hRule="atLeast"/>
              </w:trPr>
              <w:tc>
                <w:tcPr>
                  <w:tcW w:w="155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default"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涂料</w:t>
                  </w:r>
                </w:p>
              </w:tc>
              <w:tc>
                <w:tcPr>
                  <w:tcW w:w="17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按设计规范及要求</w:t>
                  </w:r>
                </w:p>
              </w:tc>
              <w:tc>
                <w:tcPr>
                  <w:tcW w:w="257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default"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三棵树、多乐士、立邦</w:t>
                  </w:r>
                </w:p>
              </w:tc>
              <w:tc>
                <w:tcPr>
                  <w:tcW w:w="173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p>
              </w:tc>
              <w:tc>
                <w:tcPr>
                  <w:tcW w:w="93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5" w:hRule="atLeast"/>
              </w:trPr>
              <w:tc>
                <w:tcPr>
                  <w:tcW w:w="155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default"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水泥</w:t>
                  </w:r>
                </w:p>
              </w:tc>
              <w:tc>
                <w:tcPr>
                  <w:tcW w:w="17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按设计规范及要求</w:t>
                  </w:r>
                </w:p>
              </w:tc>
              <w:tc>
                <w:tcPr>
                  <w:tcW w:w="257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default"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岩城、建福、华润</w:t>
                  </w:r>
                </w:p>
              </w:tc>
              <w:tc>
                <w:tcPr>
                  <w:tcW w:w="173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仿宋_GB2312" w:hAnsi="宋体" w:eastAsia="仿宋_GB2312" w:cs="Times New Roman"/>
                      <w:bCs/>
                      <w:sz w:val="28"/>
                      <w:szCs w:val="28"/>
                      <w:lang w:val="en-US" w:eastAsia="zh-CN"/>
                    </w:rPr>
                  </w:pPr>
                </w:p>
              </w:tc>
              <w:tc>
                <w:tcPr>
                  <w:tcW w:w="93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p>
              </w:tc>
            </w:tr>
          </w:tbl>
          <w:p>
            <w:pPr>
              <w:numPr>
                <w:ilvl w:val="0"/>
                <w:numId w:val="3"/>
              </w:numPr>
              <w:spacing w:line="520" w:lineRule="exact"/>
              <w:ind w:firstLine="560" w:firstLineChars="200"/>
              <w:textAlignment w:val="auto"/>
              <w:rPr>
                <w:rStyle w:val="9"/>
                <w:rFonts w:hint="eastAsia" w:ascii="宋体" w:hAnsi="宋体" w:eastAsia="宋体" w:cs="宋体"/>
                <w:sz w:val="28"/>
                <w:szCs w:val="28"/>
              </w:rPr>
            </w:pPr>
            <w:r>
              <w:rPr>
                <w:rStyle w:val="9"/>
                <w:rFonts w:hint="eastAsia" w:ascii="宋体" w:hAnsi="宋体" w:eastAsia="宋体" w:cs="宋体"/>
                <w:sz w:val="28"/>
                <w:szCs w:val="28"/>
              </w:rPr>
              <w:t>甲供材料一览表</w:t>
            </w:r>
          </w:p>
          <w:tbl>
            <w:tblPr>
              <w:tblStyle w:val="5"/>
              <w:tblW w:w="77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73"/>
              <w:gridCol w:w="1800"/>
              <w:gridCol w:w="1263"/>
              <w:gridCol w:w="1721"/>
              <w:gridCol w:w="1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5" w:hRule="atLeast"/>
                <w:jc w:val="center"/>
              </w:trPr>
              <w:tc>
                <w:tcPr>
                  <w:tcW w:w="1773"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r>
                    <w:rPr>
                      <w:rStyle w:val="9"/>
                      <w:rFonts w:hint="eastAsia" w:ascii="宋体" w:hAnsi="宋体" w:eastAsia="宋体" w:cs="宋体"/>
                      <w:sz w:val="28"/>
                      <w:szCs w:val="28"/>
                    </w:rPr>
                    <w:t>材料名称</w:t>
                  </w:r>
                </w:p>
              </w:tc>
              <w:tc>
                <w:tcPr>
                  <w:tcW w:w="180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r>
                    <w:rPr>
                      <w:rStyle w:val="9"/>
                      <w:rFonts w:hint="eastAsia" w:ascii="宋体" w:hAnsi="宋体" w:eastAsia="宋体" w:cs="宋体"/>
                      <w:sz w:val="28"/>
                      <w:szCs w:val="28"/>
                    </w:rPr>
                    <w:t>规格、型号</w:t>
                  </w:r>
                </w:p>
              </w:tc>
              <w:tc>
                <w:tcPr>
                  <w:tcW w:w="1263"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r>
                    <w:rPr>
                      <w:rStyle w:val="9"/>
                      <w:rFonts w:hint="eastAsia" w:ascii="宋体" w:hAnsi="宋体" w:eastAsia="宋体" w:cs="宋体"/>
                      <w:sz w:val="28"/>
                      <w:szCs w:val="28"/>
                    </w:rPr>
                    <w:t>品牌</w:t>
                  </w:r>
                </w:p>
              </w:tc>
              <w:tc>
                <w:tcPr>
                  <w:tcW w:w="1721"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r>
                    <w:rPr>
                      <w:rStyle w:val="9"/>
                      <w:rFonts w:hint="eastAsia" w:ascii="宋体" w:hAnsi="宋体" w:eastAsia="宋体" w:cs="宋体"/>
                      <w:sz w:val="28"/>
                      <w:szCs w:val="28"/>
                    </w:rPr>
                    <w:t>含税单价（元）</w:t>
                  </w:r>
                </w:p>
              </w:tc>
              <w:tc>
                <w:tcPr>
                  <w:tcW w:w="1183"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r>
                    <w:rPr>
                      <w:rStyle w:val="9"/>
                      <w:rFonts w:hint="eastAsia" w:ascii="宋体" w:hAnsi="宋体" w:eastAsia="宋体" w:cs="宋体"/>
                      <w:sz w:val="28"/>
                      <w:szCs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jc w:val="center"/>
              </w:trPr>
              <w:tc>
                <w:tcPr>
                  <w:tcW w:w="1773"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color w:val="FF0000"/>
                      <w:sz w:val="28"/>
                      <w:szCs w:val="28"/>
                    </w:rPr>
                  </w:pPr>
                </w:p>
              </w:tc>
              <w:tc>
                <w:tcPr>
                  <w:tcW w:w="1800"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color w:val="FF0000"/>
                      <w:sz w:val="28"/>
                      <w:szCs w:val="28"/>
                    </w:rPr>
                  </w:pPr>
                </w:p>
              </w:tc>
              <w:tc>
                <w:tcPr>
                  <w:tcW w:w="1263"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color w:val="FF0000"/>
                      <w:sz w:val="28"/>
                      <w:szCs w:val="28"/>
                    </w:rPr>
                  </w:pPr>
                </w:p>
              </w:tc>
              <w:tc>
                <w:tcPr>
                  <w:tcW w:w="1721"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color w:val="FF0000"/>
                      <w:sz w:val="28"/>
                      <w:szCs w:val="28"/>
                    </w:rPr>
                  </w:pPr>
                </w:p>
              </w:tc>
              <w:tc>
                <w:tcPr>
                  <w:tcW w:w="1183"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color w:val="FF00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1773"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color w:val="FF0000"/>
                      <w:sz w:val="28"/>
                      <w:szCs w:val="28"/>
                    </w:rPr>
                  </w:pPr>
                </w:p>
              </w:tc>
              <w:tc>
                <w:tcPr>
                  <w:tcW w:w="1800"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color w:val="FF0000"/>
                      <w:sz w:val="28"/>
                      <w:szCs w:val="28"/>
                    </w:rPr>
                  </w:pPr>
                </w:p>
              </w:tc>
              <w:tc>
                <w:tcPr>
                  <w:tcW w:w="1263"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color w:val="FF0000"/>
                      <w:sz w:val="28"/>
                      <w:szCs w:val="28"/>
                    </w:rPr>
                  </w:pPr>
                </w:p>
              </w:tc>
              <w:tc>
                <w:tcPr>
                  <w:tcW w:w="1721" w:type="dxa"/>
                  <w:tcBorders>
                    <w:top w:val="single" w:color="000000" w:sz="4" w:space="0"/>
                    <w:left w:val="single" w:color="000000" w:sz="4" w:space="0"/>
                    <w:bottom w:val="single" w:color="000000" w:sz="4" w:space="0"/>
                    <w:right w:val="single" w:color="000000" w:sz="4" w:space="0"/>
                  </w:tcBorders>
                </w:tcPr>
                <w:p>
                  <w:pPr>
                    <w:spacing w:line="520" w:lineRule="exact"/>
                    <w:jc w:val="center"/>
                    <w:textAlignment w:val="auto"/>
                    <w:rPr>
                      <w:rStyle w:val="9"/>
                      <w:rFonts w:hint="eastAsia" w:ascii="宋体" w:hAnsi="宋体" w:eastAsia="宋体" w:cs="宋体"/>
                      <w:color w:val="FF0000"/>
                      <w:sz w:val="28"/>
                      <w:szCs w:val="28"/>
                    </w:rPr>
                  </w:pPr>
                </w:p>
              </w:tc>
              <w:tc>
                <w:tcPr>
                  <w:tcW w:w="1183"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color w:val="FF0000"/>
                      <w:sz w:val="28"/>
                      <w:szCs w:val="28"/>
                    </w:rPr>
                  </w:pPr>
                </w:p>
              </w:tc>
            </w:tr>
          </w:tbl>
          <w:p>
            <w:pPr>
              <w:spacing w:line="520" w:lineRule="exact"/>
              <w:ind w:left="71" w:leftChars="34" w:firstLine="560" w:firstLineChars="200"/>
              <w:textAlignment w:val="auto"/>
              <w:rPr>
                <w:rStyle w:val="9"/>
                <w:rFonts w:hint="eastAsia" w:ascii="宋体" w:hAnsi="宋体" w:eastAsia="宋体" w:cs="宋体"/>
                <w:sz w:val="28"/>
                <w:szCs w:val="28"/>
              </w:rPr>
            </w:pPr>
            <w:r>
              <w:rPr>
                <w:rStyle w:val="9"/>
                <w:rFonts w:hint="eastAsia" w:ascii="宋体" w:hAnsi="宋体" w:eastAsia="宋体" w:cs="宋体"/>
                <w:sz w:val="28"/>
                <w:szCs w:val="28"/>
              </w:rPr>
              <w:t>3.经市场询价的材料设备：</w:t>
            </w:r>
            <w:r>
              <w:rPr>
                <w:rStyle w:val="9"/>
                <w:rFonts w:hint="eastAsia" w:ascii="宋体" w:hAnsi="宋体" w:eastAsia="宋体" w:cs="宋体"/>
                <w:sz w:val="28"/>
                <w:szCs w:val="28"/>
                <w:u w:val="single"/>
                <w:lang w:val="en-US" w:eastAsia="zh-CN"/>
              </w:rPr>
              <w:t>详见询价单</w:t>
            </w:r>
            <w:r>
              <w:rPr>
                <w:rStyle w:val="9"/>
                <w:rFonts w:hint="eastAsia" w:ascii="宋体" w:hAnsi="宋体" w:eastAsia="宋体" w:cs="宋体"/>
                <w:sz w:val="28"/>
                <w:szCs w:val="28"/>
                <w:u w:val="single"/>
              </w:rPr>
              <w:t xml:space="preserve"> </w:t>
            </w:r>
            <w:r>
              <w:rPr>
                <w:rStyle w:val="9"/>
                <w:rFonts w:hint="eastAsia" w:ascii="宋体" w:hAnsi="宋体" w:eastAsia="宋体" w:cs="宋体"/>
                <w:bCs/>
                <w:sz w:val="28"/>
                <w:szCs w:val="28"/>
              </w:rPr>
              <w:t>。</w:t>
            </w:r>
          </w:p>
          <w:p>
            <w:pPr>
              <w:spacing w:line="520" w:lineRule="exact"/>
              <w:textAlignment w:val="auto"/>
              <w:rPr>
                <w:rStyle w:val="9"/>
                <w:rFonts w:hint="eastAsia" w:ascii="宋体" w:hAnsi="宋体" w:eastAsia="宋体" w:cs="宋体"/>
                <w:b/>
                <w:bCs/>
                <w:sz w:val="28"/>
                <w:szCs w:val="28"/>
              </w:rPr>
            </w:pPr>
            <w:r>
              <w:rPr>
                <w:rStyle w:val="9"/>
                <w:rFonts w:hint="eastAsia" w:ascii="宋体" w:hAnsi="宋体" w:eastAsia="宋体" w:cs="宋体"/>
                <w:b/>
                <w:bCs/>
                <w:sz w:val="28"/>
                <w:szCs w:val="28"/>
              </w:rPr>
              <w:t>七、本项目补充的工程量清单</w:t>
            </w:r>
          </w:p>
          <w:tbl>
            <w:tblPr>
              <w:tblStyle w:val="5"/>
              <w:tblW w:w="8587" w:type="dxa"/>
              <w:tblInd w:w="2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37"/>
              <w:gridCol w:w="1350"/>
              <w:gridCol w:w="1350"/>
              <w:gridCol w:w="1038"/>
              <w:gridCol w:w="1637"/>
              <w:gridCol w:w="13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1837"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r>
                    <w:rPr>
                      <w:rStyle w:val="9"/>
                      <w:rFonts w:hint="eastAsia" w:ascii="宋体" w:hAnsi="宋体" w:eastAsia="宋体" w:cs="宋体"/>
                      <w:sz w:val="28"/>
                      <w:szCs w:val="28"/>
                    </w:rPr>
                    <w:t>项目编码</w:t>
                  </w:r>
                </w:p>
              </w:tc>
              <w:tc>
                <w:tcPr>
                  <w:tcW w:w="135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r>
                    <w:rPr>
                      <w:rStyle w:val="9"/>
                      <w:rFonts w:hint="eastAsia" w:ascii="宋体" w:hAnsi="宋体" w:eastAsia="宋体" w:cs="宋体"/>
                      <w:sz w:val="28"/>
                      <w:szCs w:val="28"/>
                    </w:rPr>
                    <w:t>项目名称</w:t>
                  </w:r>
                </w:p>
              </w:tc>
              <w:tc>
                <w:tcPr>
                  <w:tcW w:w="1350"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r>
                    <w:rPr>
                      <w:rStyle w:val="9"/>
                      <w:rFonts w:hint="eastAsia" w:ascii="宋体" w:hAnsi="宋体" w:eastAsia="宋体" w:cs="宋体"/>
                      <w:sz w:val="28"/>
                      <w:szCs w:val="28"/>
                    </w:rPr>
                    <w:t>项目特征</w:t>
                  </w:r>
                </w:p>
              </w:tc>
              <w:tc>
                <w:tcPr>
                  <w:tcW w:w="1038"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r>
                    <w:rPr>
                      <w:rStyle w:val="9"/>
                      <w:rFonts w:hint="eastAsia" w:ascii="宋体" w:hAnsi="宋体" w:eastAsia="宋体" w:cs="宋体"/>
                      <w:sz w:val="28"/>
                      <w:szCs w:val="28"/>
                    </w:rPr>
                    <w:t>计量单位</w:t>
                  </w:r>
                </w:p>
              </w:tc>
              <w:tc>
                <w:tcPr>
                  <w:tcW w:w="1637"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r>
                    <w:rPr>
                      <w:rStyle w:val="9"/>
                      <w:rFonts w:hint="eastAsia" w:ascii="宋体" w:hAnsi="宋体" w:eastAsia="宋体" w:cs="宋体"/>
                      <w:sz w:val="28"/>
                      <w:szCs w:val="28"/>
                    </w:rPr>
                    <w:t>工程量计算规则</w:t>
                  </w:r>
                </w:p>
              </w:tc>
              <w:tc>
                <w:tcPr>
                  <w:tcW w:w="1375"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center"/>
                    <w:textAlignment w:val="auto"/>
                    <w:rPr>
                      <w:rStyle w:val="9"/>
                      <w:rFonts w:hint="eastAsia" w:ascii="宋体" w:hAnsi="宋体" w:eastAsia="宋体" w:cs="宋体"/>
                      <w:sz w:val="28"/>
                      <w:szCs w:val="28"/>
                    </w:rPr>
                  </w:pPr>
                  <w:r>
                    <w:rPr>
                      <w:rStyle w:val="9"/>
                      <w:rFonts w:hint="eastAsia" w:ascii="宋体" w:hAnsi="宋体" w:eastAsia="宋体" w:cs="宋体"/>
                      <w:sz w:val="28"/>
                      <w:szCs w:val="28"/>
                    </w:rPr>
                    <w:t>工程内容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1837"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bCs/>
                      <w:sz w:val="28"/>
                      <w:szCs w:val="28"/>
                    </w:rPr>
                  </w:pPr>
                </w:p>
              </w:tc>
              <w:tc>
                <w:tcPr>
                  <w:tcW w:w="1350"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bCs/>
                      <w:sz w:val="28"/>
                      <w:szCs w:val="28"/>
                    </w:rPr>
                  </w:pPr>
                </w:p>
              </w:tc>
              <w:tc>
                <w:tcPr>
                  <w:tcW w:w="1350"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bCs/>
                      <w:sz w:val="28"/>
                      <w:szCs w:val="28"/>
                    </w:rPr>
                  </w:pPr>
                </w:p>
              </w:tc>
              <w:tc>
                <w:tcPr>
                  <w:tcW w:w="1038"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bCs/>
                      <w:sz w:val="28"/>
                      <w:szCs w:val="28"/>
                    </w:rPr>
                  </w:pPr>
                </w:p>
              </w:tc>
              <w:tc>
                <w:tcPr>
                  <w:tcW w:w="1637"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bCs/>
                      <w:sz w:val="28"/>
                      <w:szCs w:val="28"/>
                    </w:rPr>
                  </w:pPr>
                </w:p>
              </w:tc>
              <w:tc>
                <w:tcPr>
                  <w:tcW w:w="1375"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bCs/>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1837"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bCs/>
                      <w:sz w:val="28"/>
                      <w:szCs w:val="28"/>
                    </w:rPr>
                  </w:pPr>
                </w:p>
              </w:tc>
              <w:tc>
                <w:tcPr>
                  <w:tcW w:w="1350"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bCs/>
                      <w:sz w:val="28"/>
                      <w:szCs w:val="28"/>
                    </w:rPr>
                  </w:pPr>
                </w:p>
              </w:tc>
              <w:tc>
                <w:tcPr>
                  <w:tcW w:w="1350"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bCs/>
                      <w:sz w:val="28"/>
                      <w:szCs w:val="28"/>
                    </w:rPr>
                  </w:pPr>
                </w:p>
              </w:tc>
              <w:tc>
                <w:tcPr>
                  <w:tcW w:w="1038"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bCs/>
                      <w:sz w:val="28"/>
                      <w:szCs w:val="28"/>
                    </w:rPr>
                  </w:pPr>
                </w:p>
              </w:tc>
              <w:tc>
                <w:tcPr>
                  <w:tcW w:w="1637"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bCs/>
                      <w:sz w:val="28"/>
                      <w:szCs w:val="28"/>
                    </w:rPr>
                  </w:pPr>
                </w:p>
              </w:tc>
              <w:tc>
                <w:tcPr>
                  <w:tcW w:w="1375" w:type="dxa"/>
                  <w:tcBorders>
                    <w:top w:val="single" w:color="000000" w:sz="4" w:space="0"/>
                    <w:left w:val="single" w:color="000000" w:sz="4" w:space="0"/>
                    <w:bottom w:val="single" w:color="000000" w:sz="4" w:space="0"/>
                    <w:right w:val="single" w:color="000000" w:sz="4" w:space="0"/>
                  </w:tcBorders>
                </w:tcPr>
                <w:p>
                  <w:pPr>
                    <w:spacing w:line="520" w:lineRule="exact"/>
                    <w:textAlignment w:val="auto"/>
                    <w:rPr>
                      <w:rStyle w:val="9"/>
                      <w:rFonts w:hint="eastAsia" w:ascii="宋体" w:hAnsi="宋体" w:eastAsia="宋体" w:cs="宋体"/>
                      <w:bCs/>
                      <w:sz w:val="28"/>
                      <w:szCs w:val="28"/>
                    </w:rPr>
                  </w:pPr>
                </w:p>
              </w:tc>
            </w:tr>
          </w:tbl>
          <w:p>
            <w:pPr>
              <w:numPr>
                <w:ilvl w:val="0"/>
                <w:numId w:val="1"/>
              </w:numPr>
              <w:spacing w:line="520" w:lineRule="exact"/>
              <w:ind w:left="720" w:leftChars="0" w:hanging="720" w:firstLineChars="0"/>
              <w:textAlignment w:val="auto"/>
              <w:rPr>
                <w:rStyle w:val="9"/>
                <w:rFonts w:hint="eastAsia" w:ascii="宋体" w:hAnsi="宋体" w:eastAsia="宋体" w:cs="宋体"/>
                <w:b/>
                <w:bCs/>
                <w:sz w:val="28"/>
                <w:szCs w:val="28"/>
              </w:rPr>
            </w:pPr>
            <w:r>
              <w:rPr>
                <w:rStyle w:val="9"/>
                <w:rFonts w:hint="eastAsia" w:ascii="宋体" w:hAnsi="宋体" w:eastAsia="宋体" w:cs="宋体"/>
                <w:b/>
                <w:bCs/>
                <w:sz w:val="28"/>
                <w:szCs w:val="28"/>
              </w:rPr>
              <w:t>其他需要的说明</w:t>
            </w:r>
          </w:p>
          <w:p>
            <w:pPr>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装饰</w:t>
            </w:r>
            <w:r>
              <w:rPr>
                <w:rFonts w:hint="eastAsia" w:ascii="宋体" w:hAnsi="宋体" w:eastAsia="宋体" w:cs="宋体"/>
                <w:b/>
                <w:color w:val="auto"/>
                <w:sz w:val="28"/>
                <w:szCs w:val="28"/>
                <w:highlight w:val="none"/>
              </w:rPr>
              <w:t>部分</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垃圾外运，运距3km；弃点由中标单位自理；</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hAnsi="Times New Roman" w:eastAsia="仿宋_GB2312" w:cs="Times New Roman"/>
                <w:b w:val="0"/>
                <w:bCs w:val="0"/>
                <w:kern w:val="0"/>
                <w:sz w:val="28"/>
                <w:szCs w:val="28"/>
                <w:u w:val="none"/>
                <w:lang w:val="en-US" w:eastAsia="zh-CN" w:bidi="ar-SA"/>
              </w:rPr>
              <w:t>地面及顶面拆除：原顶面为轻钢龙骨石膏板吊顶，原地面为瓷砖地面；</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双面轻钢龙骨隔墙做法按：双面轻钢龙骨+9.5mm厚双层石膏板+吸音岩棉+腻子两遍+微水泥一</w:t>
            </w:r>
            <w:r>
              <w:rPr>
                <w:rFonts w:hint="eastAsia" w:ascii="仿宋_GB2312" w:hAnsi="Times New Roman" w:eastAsia="仿宋_GB2312" w:cs="Times New Roman"/>
                <w:b w:val="0"/>
                <w:bCs w:val="0"/>
                <w:kern w:val="0"/>
                <w:sz w:val="28"/>
                <w:szCs w:val="28"/>
                <w:u w:val="none"/>
                <w:lang w:val="en-US" w:eastAsia="zh-CN" w:bidi="ar-SA"/>
              </w:rPr>
              <w:t>底两面</w:t>
            </w:r>
            <w:r>
              <w:rPr>
                <w:rFonts w:hint="eastAsia" w:ascii="仿宋_GB2312" w:eastAsia="仿宋_GB2312" w:cs="Times New Roman"/>
                <w:b w:val="0"/>
                <w:bCs w:val="0"/>
                <w:kern w:val="0"/>
                <w:sz w:val="28"/>
                <w:szCs w:val="28"/>
                <w:u w:val="none"/>
                <w:lang w:val="en-US" w:eastAsia="zh-CN" w:bidi="ar-SA"/>
              </w:rPr>
              <w:t>；</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除双面轻钢龙骨隔墙外，其他木饰墙柱面做法按：</w:t>
            </w:r>
            <w:r>
              <w:rPr>
                <w:rFonts w:hint="eastAsia" w:ascii="仿宋_GB2312" w:hAnsi="Times New Roman" w:eastAsia="仿宋_GB2312" w:cs="Times New Roman"/>
                <w:b w:val="0"/>
                <w:bCs w:val="0"/>
                <w:kern w:val="0"/>
                <w:sz w:val="28"/>
                <w:szCs w:val="28"/>
                <w:u w:val="none"/>
                <w:lang w:val="en-US" w:eastAsia="zh-CN" w:bidi="ar-SA"/>
              </w:rPr>
              <w:fldChar w:fldCharType="begin"/>
            </w:r>
            <w:r>
              <w:rPr>
                <w:rFonts w:hint="eastAsia" w:ascii="仿宋_GB2312" w:hAnsi="Times New Roman" w:eastAsia="仿宋_GB2312" w:cs="Times New Roman"/>
                <w:b w:val="0"/>
                <w:bCs w:val="0"/>
                <w:kern w:val="0"/>
                <w:sz w:val="28"/>
                <w:szCs w:val="28"/>
                <w:u w:val="none"/>
                <w:lang w:val="en-US" w:eastAsia="zh-CN" w:bidi="ar-SA"/>
              </w:rPr>
              <w:instrText xml:space="preserve"> HYPERLINK "mailto:木作50*50@600木龙骨，单层12厘防火板，单层9.5厘纸面石膏板，微水泥一底两面；" </w:instrText>
            </w:r>
            <w:r>
              <w:rPr>
                <w:rFonts w:hint="eastAsia" w:ascii="仿宋_GB2312" w:hAnsi="Times New Roman" w:eastAsia="仿宋_GB2312" w:cs="Times New Roman"/>
                <w:b w:val="0"/>
                <w:bCs w:val="0"/>
                <w:kern w:val="0"/>
                <w:sz w:val="28"/>
                <w:szCs w:val="28"/>
                <w:u w:val="none"/>
                <w:lang w:val="en-US" w:eastAsia="zh-CN" w:bidi="ar-SA"/>
              </w:rPr>
              <w:fldChar w:fldCharType="separate"/>
            </w:r>
            <w:r>
              <w:rPr>
                <w:rFonts w:hint="eastAsia" w:ascii="仿宋_GB2312" w:hAnsi="Times New Roman" w:eastAsia="仿宋_GB2312" w:cs="Times New Roman"/>
                <w:b w:val="0"/>
                <w:bCs w:val="0"/>
                <w:kern w:val="0"/>
                <w:sz w:val="28"/>
                <w:szCs w:val="28"/>
                <w:u w:val="none"/>
                <w:lang w:val="en-US" w:eastAsia="zh-CN" w:bidi="ar-SA"/>
              </w:rPr>
              <w:t>木作50*50@600木龙骨，单层12厘防火板，单层9.5厘纸面石膏板，微水泥一底两面；</w:t>
            </w:r>
            <w:r>
              <w:rPr>
                <w:rFonts w:hint="eastAsia" w:ascii="仿宋_GB2312" w:hAnsi="Times New Roman" w:eastAsia="仿宋_GB2312" w:cs="Times New Roman"/>
                <w:b w:val="0"/>
                <w:bCs w:val="0"/>
                <w:kern w:val="0"/>
                <w:sz w:val="28"/>
                <w:szCs w:val="28"/>
                <w:u w:val="none"/>
                <w:lang w:val="en-US" w:eastAsia="zh-CN" w:bidi="ar-SA"/>
              </w:rPr>
              <w:fldChar w:fldCharType="end"/>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拆除原墙柱面干挂瓷砖、木作及服务台；考虑白天上班期间拆除噪音大，拆除在下班以后进行；</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本项目在一层大厅，人流量大。施工过程中考虑成品保护；</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仿真绿植工程量由业主提供，结算按现场实际计算；</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仿真枇杷树规格按H1800mm，冠幅2000mm计入；造型要求真实，形态优美；</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仿真柚子树规格按H1800-2000mm，冠幅2000mm计入；造型要求真实，形态优美；</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仿真龙眼树规格按H1800-2000mm，冠幅2000mm计入；造型要求真实，形态优美；</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default" w:ascii="仿宋_GB2312" w:hAnsi="Times New Roman" w:eastAsia="仿宋_GB2312" w:cs="Times New Roman"/>
                <w:b w:val="0"/>
                <w:bCs w:val="0"/>
                <w:kern w:val="0"/>
                <w:sz w:val="28"/>
                <w:szCs w:val="28"/>
                <w:u w:val="none"/>
                <w:lang w:val="en-US" w:eastAsia="zh-CN" w:bidi="ar-SA"/>
              </w:rPr>
              <w:t>仿真蕨类</w:t>
            </w:r>
            <w:r>
              <w:rPr>
                <w:rFonts w:hint="eastAsia" w:ascii="仿宋_GB2312" w:eastAsia="仿宋_GB2312" w:cs="Times New Roman"/>
                <w:b w:val="0"/>
                <w:bCs w:val="0"/>
                <w:kern w:val="0"/>
                <w:sz w:val="28"/>
                <w:szCs w:val="28"/>
                <w:u w:val="none"/>
                <w:lang w:val="en-US" w:eastAsia="zh-CN" w:bidi="ar-SA"/>
              </w:rPr>
              <w:t>规格按50mm*45mm*45mm计入；造型要求真实，形态优美；</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企业文化墙内容及范围由业主确认，结算按现场实际计算；</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卫生间门更换，按铝合金平开门计入，尺寸为900mm*2100mm；</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储藏间门按木质门计入，尺寸为900mm*2100mm;</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窗帘高度按3.0m计入；</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服务台按</w:t>
            </w:r>
            <w:r>
              <w:rPr>
                <w:rFonts w:hint="default" w:ascii="仿宋_GB2312" w:hAnsi="Times New Roman" w:eastAsia="仿宋_GB2312" w:cs="Times New Roman"/>
                <w:b w:val="0"/>
                <w:bCs w:val="0"/>
                <w:kern w:val="0"/>
                <w:sz w:val="28"/>
                <w:szCs w:val="28"/>
                <w:u w:val="none"/>
                <w:lang w:val="en-US" w:eastAsia="zh-CN" w:bidi="ar-SA"/>
              </w:rPr>
              <w:t>烤漆玻璃钢</w:t>
            </w:r>
            <w:r>
              <w:rPr>
                <w:rFonts w:hint="eastAsia" w:ascii="仿宋_GB2312" w:eastAsia="仿宋_GB2312" w:cs="Times New Roman"/>
                <w:b w:val="0"/>
                <w:bCs w:val="0"/>
                <w:kern w:val="0"/>
                <w:sz w:val="28"/>
                <w:szCs w:val="28"/>
                <w:u w:val="none"/>
                <w:lang w:val="en-US" w:eastAsia="zh-CN" w:bidi="ar-SA"/>
              </w:rPr>
              <w:t>计入，尺寸为3000mm*1050mm*800mm；</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墙面柔岩板按软石柔岩材质；</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default" w:ascii="仿宋_GB2312" w:hAnsi="Times New Roman" w:eastAsia="仿宋_GB2312" w:cs="Times New Roman"/>
                <w:b w:val="0"/>
                <w:bCs w:val="0"/>
                <w:kern w:val="0"/>
                <w:sz w:val="28"/>
                <w:szCs w:val="28"/>
                <w:u w:val="none"/>
                <w:lang w:val="en-US" w:eastAsia="zh-CN" w:bidi="ar-SA"/>
              </w:rPr>
              <w:t>20-02/1立面</w:t>
            </w:r>
            <w:r>
              <w:rPr>
                <w:rFonts w:hint="eastAsia" w:ascii="仿宋_GB2312" w:eastAsia="仿宋_GB2312" w:cs="Times New Roman"/>
                <w:b w:val="0"/>
                <w:bCs w:val="0"/>
                <w:kern w:val="0"/>
                <w:sz w:val="28"/>
                <w:szCs w:val="28"/>
                <w:u w:val="none"/>
                <w:lang w:val="en-US" w:eastAsia="zh-CN" w:bidi="ar-SA"/>
              </w:rPr>
              <w:t>成品定制柜按18mm生态板计入，尺寸为3805mm×3000mm*400mm；</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展示区域展示柜为亚克力成品展示柜；</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default" w:ascii="仿宋_GB2312" w:hAnsi="Times New Roman" w:eastAsia="仿宋_GB2312" w:cs="Times New Roman"/>
                <w:b w:val="0"/>
                <w:bCs w:val="0"/>
                <w:kern w:val="0"/>
                <w:sz w:val="28"/>
                <w:szCs w:val="28"/>
                <w:u w:val="none"/>
                <w:lang w:val="en-US" w:eastAsia="zh-CN" w:bidi="ar-SA"/>
              </w:rPr>
              <w:t>成品屏</w:t>
            </w:r>
            <w:r>
              <w:rPr>
                <w:rFonts w:hint="eastAsia" w:ascii="仿宋_GB2312" w:eastAsia="仿宋_GB2312" w:cs="Times New Roman"/>
                <w:b w:val="0"/>
                <w:bCs w:val="0"/>
                <w:kern w:val="0"/>
                <w:sz w:val="28"/>
                <w:szCs w:val="28"/>
                <w:u w:val="none"/>
                <w:lang w:val="en-US" w:eastAsia="zh-CN" w:bidi="ar-SA"/>
              </w:rPr>
              <w:t>风按成品定制玻璃屏风计入，尺寸为2400mm*2400mm；</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default" w:ascii="仿宋_GB2312" w:hAnsi="Times New Roman" w:eastAsia="仿宋_GB2312" w:cs="Times New Roman"/>
                <w:b w:val="0"/>
                <w:bCs w:val="0"/>
                <w:kern w:val="0"/>
                <w:sz w:val="28"/>
                <w:szCs w:val="28"/>
                <w:u w:val="none"/>
                <w:lang w:val="en-US" w:eastAsia="zh-CN" w:bidi="ar-SA"/>
              </w:rPr>
              <w:t>成品木格栅</w:t>
            </w:r>
            <w:r>
              <w:rPr>
                <w:rFonts w:hint="eastAsia" w:ascii="仿宋_GB2312" w:eastAsia="仿宋_GB2312" w:cs="Times New Roman"/>
                <w:b w:val="0"/>
                <w:bCs w:val="0"/>
                <w:kern w:val="0"/>
                <w:sz w:val="28"/>
                <w:szCs w:val="28"/>
                <w:u w:val="none"/>
                <w:lang w:val="en-US" w:eastAsia="zh-CN" w:bidi="ar-SA"/>
              </w:rPr>
              <w:t>尺寸按900mm*1300mm计入；</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default" w:ascii="仿宋_GB2312" w:hAnsi="Times New Roman" w:eastAsia="仿宋_GB2312" w:cs="Times New Roman"/>
                <w:b w:val="0"/>
                <w:bCs w:val="0"/>
                <w:kern w:val="0"/>
                <w:sz w:val="28"/>
                <w:szCs w:val="28"/>
                <w:u w:val="none"/>
                <w:lang w:val="en-US" w:eastAsia="zh-CN" w:bidi="ar-SA"/>
              </w:rPr>
              <w:t>软装柜</w:t>
            </w:r>
            <w:r>
              <w:rPr>
                <w:rFonts w:hint="eastAsia" w:ascii="仿宋_GB2312" w:eastAsia="仿宋_GB2312" w:cs="Times New Roman"/>
                <w:b w:val="0"/>
                <w:bCs w:val="0"/>
                <w:kern w:val="0"/>
                <w:sz w:val="28"/>
                <w:szCs w:val="28"/>
                <w:u w:val="none"/>
                <w:lang w:val="en-US" w:eastAsia="zh-CN" w:bidi="ar-SA"/>
              </w:rPr>
              <w:t>按石质造型桌，造型由业主确认，尺寸按2000mm*300mm*1200mm计入；</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成品活动矮柜按定制成品活动矮柜，尺寸为2000mm*800mm*500mm；款式由业主确认；</w:t>
            </w:r>
          </w:p>
          <w:p>
            <w:pPr>
              <w:numPr>
                <w:ilvl w:val="0"/>
                <w:numId w:val="4"/>
              </w:numPr>
              <w:ind w:left="420" w:leftChars="0" w:firstLineChars="0"/>
              <w:rPr>
                <w:rFonts w:hint="default" w:ascii="仿宋_GB2312" w:eastAsia="仿宋_GB2312" w:cs="Times New Roman"/>
                <w:b w:val="0"/>
                <w:bCs w:val="0"/>
                <w:kern w:val="0"/>
                <w:sz w:val="28"/>
                <w:szCs w:val="28"/>
                <w:u w:val="none"/>
                <w:lang w:val="en-US" w:eastAsia="zh-CN" w:bidi="ar-SA"/>
              </w:rPr>
            </w:pPr>
            <w:r>
              <w:rPr>
                <w:rFonts w:hint="default" w:ascii="仿宋_GB2312" w:eastAsia="仿宋_GB2312" w:cs="Times New Roman"/>
                <w:b w:val="0"/>
                <w:bCs w:val="0"/>
                <w:kern w:val="0"/>
                <w:sz w:val="28"/>
                <w:szCs w:val="28"/>
                <w:u w:val="none"/>
                <w:lang w:val="en-US" w:eastAsia="zh-CN" w:bidi="ar-SA"/>
              </w:rPr>
              <w:t>会客厅家具</w:t>
            </w:r>
            <w:r>
              <w:rPr>
                <w:rFonts w:hint="eastAsia" w:ascii="仿宋_GB2312" w:eastAsia="仿宋_GB2312" w:cs="Times New Roman"/>
                <w:b w:val="0"/>
                <w:bCs w:val="0"/>
                <w:kern w:val="0"/>
                <w:sz w:val="28"/>
                <w:szCs w:val="28"/>
                <w:u w:val="none"/>
                <w:lang w:val="en-US" w:eastAsia="zh-CN" w:bidi="ar-SA"/>
              </w:rPr>
              <w:t>，按定制皮质沙发一桌四椅计入；款式由业主确认；</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接待区域logo按钛金字计入；大字按800mm*800mm，小字按500mm*500mm计入；</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电梯前室原玻璃门拆除，用200mm黑钛不锈钢门框包边；</w:t>
            </w:r>
          </w:p>
          <w:p>
            <w:pPr>
              <w:numPr>
                <w:ilvl w:val="0"/>
                <w:numId w:val="4"/>
              </w:numPr>
              <w:ind w:left="420" w:leftChars="0" w:firstLineChars="0"/>
              <w:rPr>
                <w:rFonts w:hint="default" w:ascii="仿宋_GB2312" w:hAnsi="Times New Roman" w:eastAsia="仿宋_GB2312" w:cs="Times New Roman"/>
                <w:b w:val="0"/>
                <w:bCs w:val="0"/>
                <w:kern w:val="0"/>
                <w:sz w:val="28"/>
                <w:szCs w:val="28"/>
                <w:u w:val="none"/>
                <w:lang w:val="en-US" w:eastAsia="zh-CN" w:bidi="ar-SA"/>
              </w:rPr>
            </w:pPr>
            <w:r>
              <w:rPr>
                <w:rFonts w:hint="eastAsia" w:ascii="仿宋_GB2312" w:eastAsia="仿宋_GB2312" w:cs="Times New Roman"/>
                <w:b w:val="0"/>
                <w:bCs w:val="0"/>
                <w:kern w:val="0"/>
                <w:sz w:val="28"/>
                <w:szCs w:val="28"/>
                <w:u w:val="none"/>
                <w:lang w:val="en-US" w:eastAsia="zh-CN" w:bidi="ar-SA"/>
              </w:rPr>
              <w:t>由业主提供的工程量确认单，按实结算，结算时只减不增；</w:t>
            </w:r>
            <w:bookmarkStart w:id="0" w:name="_GoBack"/>
            <w:bookmarkEnd w:id="0"/>
          </w:p>
          <w:p>
            <w:pPr>
              <w:tabs>
                <w:tab w:val="left" w:pos="312"/>
              </w:tabs>
              <w:jc w:val="left"/>
              <w:rPr>
                <w:rStyle w:val="9"/>
                <w:rFonts w:hint="eastAsia" w:ascii="宋体" w:hAnsi="宋体" w:eastAsia="宋体" w:cs="宋体"/>
                <w:bCs/>
                <w:sz w:val="28"/>
                <w:szCs w:val="28"/>
              </w:rPr>
            </w:pPr>
            <w:r>
              <w:rPr>
                <w:rFonts w:hint="eastAsia" w:ascii="宋体" w:hAnsi="宋体" w:eastAsia="宋体" w:cs="宋体"/>
                <w:b/>
                <w:bCs/>
                <w:color w:val="auto"/>
                <w:sz w:val="28"/>
                <w:szCs w:val="28"/>
                <w:lang w:eastAsia="zh-CN"/>
              </w:rPr>
              <w:t>安装</w:t>
            </w:r>
            <w:r>
              <w:rPr>
                <w:rFonts w:hint="eastAsia" w:ascii="宋体" w:hAnsi="宋体" w:cs="宋体"/>
                <w:b/>
                <w:bCs/>
                <w:color w:val="auto"/>
                <w:sz w:val="28"/>
                <w:szCs w:val="28"/>
                <w:lang w:eastAsia="zh-CN"/>
              </w:rPr>
              <w:t>部分</w:t>
            </w:r>
          </w:p>
          <w:p>
            <w:pPr>
              <w:pStyle w:val="4"/>
              <w:keepNext w:val="0"/>
              <w:keepLines w:val="0"/>
              <w:widowControl/>
              <w:numPr>
                <w:ilvl w:val="0"/>
                <w:numId w:val="5"/>
              </w:numPr>
              <w:suppressLineNumbers w:val="0"/>
              <w:spacing w:before="0" w:beforeAutospacing="0" w:after="0" w:afterAutospacing="0"/>
              <w:ind w:left="421" w:leftChars="0" w:right="0" w:rightChars="0"/>
              <w:rPr>
                <w:rFonts w:hint="eastAsia" w:ascii="仿宋_GB2312" w:hAnsi="Times New Roman" w:eastAsia="仿宋_GB2312" w:cs="Times New Roman"/>
                <w:b w:val="0"/>
                <w:bCs w:val="0"/>
                <w:sz w:val="28"/>
                <w:szCs w:val="28"/>
                <w:u w:val="none"/>
                <w:lang w:val="en-US" w:eastAsia="zh-CN"/>
              </w:rPr>
            </w:pPr>
            <w:r>
              <w:rPr>
                <w:rFonts w:hint="eastAsia" w:ascii="仿宋_GB2312" w:hAnsi="Times New Roman" w:eastAsia="仿宋_GB2312" w:cs="Times New Roman"/>
                <w:b w:val="0"/>
                <w:bCs w:val="0"/>
                <w:sz w:val="28"/>
                <w:szCs w:val="28"/>
                <w:u w:val="none"/>
                <w:lang w:val="en-US" w:eastAsia="zh-CN"/>
              </w:rPr>
              <w:t>控制箱不计入本次编制范围；</w:t>
            </w:r>
          </w:p>
          <w:p>
            <w:pPr>
              <w:pStyle w:val="4"/>
              <w:keepNext w:val="0"/>
              <w:keepLines w:val="0"/>
              <w:widowControl/>
              <w:numPr>
                <w:ilvl w:val="0"/>
                <w:numId w:val="5"/>
              </w:numPr>
              <w:suppressLineNumbers w:val="0"/>
              <w:spacing w:before="0" w:beforeAutospacing="0" w:after="0" w:afterAutospacing="0"/>
              <w:ind w:left="421" w:leftChars="0" w:right="0" w:rightChars="0"/>
              <w:rPr>
                <w:rFonts w:hint="eastAsia" w:ascii="仿宋_GB2312" w:hAnsi="Times New Roman" w:eastAsia="仿宋_GB2312" w:cs="Times New Roman"/>
                <w:b w:val="0"/>
                <w:bCs w:val="0"/>
                <w:sz w:val="28"/>
                <w:szCs w:val="28"/>
                <w:u w:val="none"/>
                <w:lang w:val="en-US" w:eastAsia="zh-CN"/>
              </w:rPr>
            </w:pPr>
            <w:r>
              <w:rPr>
                <w:rFonts w:hint="eastAsia" w:ascii="仿宋_GB2312" w:hAnsi="Times New Roman" w:eastAsia="仿宋_GB2312" w:cs="Times New Roman"/>
                <w:b w:val="0"/>
                <w:bCs w:val="0"/>
                <w:sz w:val="28"/>
                <w:szCs w:val="28"/>
                <w:u w:val="none"/>
                <w:lang w:val="en-US" w:eastAsia="zh-CN"/>
              </w:rPr>
              <w:t>弱电部分按平面图量取完整，仅计预埋管及弱电插座；</w:t>
            </w:r>
          </w:p>
          <w:p>
            <w:pPr>
              <w:pStyle w:val="4"/>
              <w:keepNext w:val="0"/>
              <w:keepLines w:val="0"/>
              <w:widowControl/>
              <w:numPr>
                <w:ilvl w:val="0"/>
                <w:numId w:val="5"/>
              </w:numPr>
              <w:suppressLineNumbers w:val="0"/>
              <w:spacing w:before="0" w:beforeAutospacing="0" w:after="0" w:afterAutospacing="0"/>
              <w:ind w:left="421" w:leftChars="0" w:right="0" w:rightChars="0"/>
              <w:rPr>
                <w:rFonts w:hint="eastAsia" w:ascii="仿宋_GB2312" w:hAnsi="Times New Roman" w:eastAsia="仿宋_GB2312" w:cs="Times New Roman"/>
                <w:b w:val="0"/>
                <w:bCs w:val="0"/>
                <w:sz w:val="28"/>
                <w:szCs w:val="28"/>
                <w:u w:val="none"/>
                <w:lang w:val="en-US" w:eastAsia="zh-CN"/>
              </w:rPr>
            </w:pPr>
            <w:r>
              <w:rPr>
                <w:rFonts w:hint="eastAsia" w:ascii="仿宋_GB2312" w:hAnsi="Times New Roman" w:eastAsia="仿宋_GB2312" w:cs="Times New Roman"/>
                <w:b w:val="0"/>
                <w:bCs w:val="0"/>
                <w:sz w:val="28"/>
                <w:szCs w:val="28"/>
                <w:u w:val="none"/>
                <w:lang w:val="en-US" w:eastAsia="zh-CN"/>
              </w:rPr>
              <w:t>平面消火栓、灭火器、卫生洁具不计入本次编制范围；</w:t>
            </w:r>
          </w:p>
          <w:p>
            <w:pPr>
              <w:pStyle w:val="4"/>
              <w:keepNext w:val="0"/>
              <w:keepLines w:val="0"/>
              <w:widowControl/>
              <w:numPr>
                <w:ilvl w:val="0"/>
                <w:numId w:val="5"/>
              </w:numPr>
              <w:suppressLineNumbers w:val="0"/>
              <w:spacing w:before="0" w:beforeAutospacing="0" w:after="0" w:afterAutospacing="0"/>
              <w:ind w:left="421" w:leftChars="0" w:right="0" w:rightChars="0"/>
              <w:rPr>
                <w:rFonts w:hint="eastAsia" w:ascii="仿宋_GB2312" w:hAnsi="Times New Roman" w:eastAsia="仿宋_GB2312" w:cs="Times New Roman"/>
                <w:b w:val="0"/>
                <w:bCs w:val="0"/>
                <w:sz w:val="28"/>
                <w:szCs w:val="28"/>
                <w:u w:val="none"/>
                <w:lang w:val="en-US" w:eastAsia="zh-CN"/>
              </w:rPr>
            </w:pPr>
            <w:r>
              <w:rPr>
                <w:rFonts w:hint="eastAsia" w:ascii="仿宋_GB2312" w:hAnsi="Times New Roman" w:eastAsia="仿宋_GB2312" w:cs="Times New Roman"/>
                <w:b w:val="0"/>
                <w:bCs w:val="0"/>
                <w:sz w:val="28"/>
                <w:szCs w:val="28"/>
                <w:u w:val="none"/>
                <w:lang w:val="en-US" w:eastAsia="zh-CN"/>
              </w:rPr>
              <w:t>配电箱1AL进线长度按照50米预留；</w:t>
            </w:r>
          </w:p>
          <w:p>
            <w:pPr>
              <w:numPr>
                <w:ilvl w:val="0"/>
                <w:numId w:val="0"/>
              </w:numPr>
              <w:jc w:val="left"/>
              <w:rPr>
                <w:rStyle w:val="9"/>
                <w:rFonts w:hint="eastAsia" w:ascii="宋体" w:hAnsi="宋体" w:eastAsia="宋体" w:cs="宋体"/>
                <w:bCs/>
                <w:sz w:val="28"/>
                <w:szCs w:val="28"/>
              </w:rPr>
            </w:pPr>
          </w:p>
        </w:tc>
      </w:tr>
    </w:tbl>
    <w:p>
      <w:pPr>
        <w:spacing w:line="360" w:lineRule="auto"/>
        <w:rPr>
          <w:rStyle w:val="9"/>
          <w:rFonts w:ascii="仿宋_GB2312" w:hAnsi="宋体" w:eastAsia="仿宋_GB2312"/>
          <w:bCs/>
          <w:sz w:val="28"/>
          <w:szCs w:val="28"/>
        </w:rPr>
      </w:pPr>
    </w:p>
    <w:sectPr>
      <w:headerReference r:id="rId3" w:type="default"/>
      <w:footerReference r:id="rId4" w:type="default"/>
      <w:pgSz w:w="11906" w:h="16838"/>
      <w:pgMar w:top="1247" w:right="1489" w:bottom="1247"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240" w:firstLineChars="1800"/>
      <w:rPr>
        <w:rStyle w:val="9"/>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rPr>
        <w:rStyle w:val="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D0C136"/>
    <w:multiLevelType w:val="singleLevel"/>
    <w:tmpl w:val="98D0C136"/>
    <w:lvl w:ilvl="0" w:tentative="0">
      <w:start w:val="1"/>
      <w:numFmt w:val="decimal"/>
      <w:suff w:val="nothing"/>
      <w:lvlText w:val="%1、"/>
      <w:lvlJc w:val="left"/>
    </w:lvl>
  </w:abstractNum>
  <w:abstractNum w:abstractNumId="1">
    <w:nsid w:val="D837F1EB"/>
    <w:multiLevelType w:val="singleLevel"/>
    <w:tmpl w:val="D837F1EB"/>
    <w:lvl w:ilvl="0" w:tentative="0">
      <w:start w:val="1"/>
      <w:numFmt w:val="decimal"/>
      <w:suff w:val="nothing"/>
      <w:lvlText w:val="%1、"/>
      <w:lvlJc w:val="left"/>
      <w:pPr>
        <w:ind w:left="420"/>
      </w:pPr>
    </w:lvl>
  </w:abstractNum>
  <w:abstractNum w:abstractNumId="2">
    <w:nsid w:val="3874049B"/>
    <w:multiLevelType w:val="multilevel"/>
    <w:tmpl w:val="3874049B"/>
    <w:lvl w:ilvl="0" w:tentative="0">
      <w:start w:val="1"/>
      <w:numFmt w:val="decimal"/>
      <w:lvlText w:val="%1)"/>
      <w:lvlJc w:val="left"/>
      <w:pPr>
        <w:widowControl/>
        <w:tabs>
          <w:tab w:val="left" w:pos="968"/>
        </w:tabs>
        <w:spacing w:line="240" w:lineRule="auto"/>
        <w:ind w:left="968" w:hanging="420"/>
        <w:textAlignment w:val="baseline"/>
      </w:pPr>
    </w:lvl>
    <w:lvl w:ilvl="1" w:tentative="0">
      <w:start w:val="1"/>
      <w:numFmt w:val="lowerLetter"/>
      <w:lvlText w:val="%1)"/>
      <w:lvlJc w:val="left"/>
      <w:pPr>
        <w:widowControl/>
        <w:tabs>
          <w:tab w:val="left" w:pos="1388"/>
        </w:tabs>
        <w:spacing w:line="240" w:lineRule="auto"/>
        <w:ind w:left="1388" w:hanging="420"/>
        <w:textAlignment w:val="baseline"/>
      </w:pPr>
    </w:lvl>
    <w:lvl w:ilvl="2" w:tentative="0">
      <w:start w:val="1"/>
      <w:numFmt w:val="lowerRoman"/>
      <w:lvlText w:val="%1."/>
      <w:lvlJc w:val="right"/>
      <w:pPr>
        <w:widowControl/>
        <w:tabs>
          <w:tab w:val="left" w:pos="1808"/>
        </w:tabs>
        <w:spacing w:line="240" w:lineRule="auto"/>
        <w:ind w:left="1808" w:hanging="420"/>
        <w:textAlignment w:val="baseline"/>
      </w:pPr>
    </w:lvl>
    <w:lvl w:ilvl="3" w:tentative="0">
      <w:start w:val="1"/>
      <w:numFmt w:val="decimal"/>
      <w:lvlText w:val="%1."/>
      <w:lvlJc w:val="left"/>
      <w:pPr>
        <w:widowControl/>
        <w:tabs>
          <w:tab w:val="left" w:pos="2228"/>
        </w:tabs>
        <w:spacing w:line="240" w:lineRule="auto"/>
        <w:ind w:left="2228" w:hanging="420"/>
        <w:textAlignment w:val="baseline"/>
      </w:pPr>
    </w:lvl>
    <w:lvl w:ilvl="4" w:tentative="0">
      <w:start w:val="1"/>
      <w:numFmt w:val="lowerLetter"/>
      <w:lvlText w:val="%1)"/>
      <w:lvlJc w:val="left"/>
      <w:pPr>
        <w:widowControl/>
        <w:tabs>
          <w:tab w:val="left" w:pos="2648"/>
        </w:tabs>
        <w:spacing w:line="240" w:lineRule="auto"/>
        <w:ind w:left="2648" w:hanging="420"/>
        <w:textAlignment w:val="baseline"/>
      </w:pPr>
    </w:lvl>
    <w:lvl w:ilvl="5" w:tentative="0">
      <w:start w:val="1"/>
      <w:numFmt w:val="lowerRoman"/>
      <w:lvlText w:val="%1."/>
      <w:lvlJc w:val="right"/>
      <w:pPr>
        <w:widowControl/>
        <w:tabs>
          <w:tab w:val="left" w:pos="3068"/>
        </w:tabs>
        <w:spacing w:line="240" w:lineRule="auto"/>
        <w:ind w:left="3068" w:hanging="420"/>
        <w:textAlignment w:val="baseline"/>
      </w:pPr>
    </w:lvl>
    <w:lvl w:ilvl="6" w:tentative="0">
      <w:start w:val="1"/>
      <w:numFmt w:val="decimal"/>
      <w:lvlText w:val="%1."/>
      <w:lvlJc w:val="left"/>
      <w:pPr>
        <w:widowControl/>
        <w:tabs>
          <w:tab w:val="left" w:pos="3488"/>
        </w:tabs>
        <w:spacing w:line="240" w:lineRule="auto"/>
        <w:ind w:left="3488" w:hanging="420"/>
        <w:textAlignment w:val="baseline"/>
      </w:pPr>
    </w:lvl>
    <w:lvl w:ilvl="7" w:tentative="0">
      <w:start w:val="1"/>
      <w:numFmt w:val="lowerLetter"/>
      <w:lvlText w:val="%1)"/>
      <w:lvlJc w:val="left"/>
      <w:pPr>
        <w:widowControl/>
        <w:tabs>
          <w:tab w:val="left" w:pos="3908"/>
        </w:tabs>
        <w:spacing w:line="240" w:lineRule="auto"/>
        <w:ind w:left="3908" w:hanging="420"/>
        <w:textAlignment w:val="baseline"/>
      </w:pPr>
    </w:lvl>
    <w:lvl w:ilvl="8" w:tentative="0">
      <w:start w:val="1"/>
      <w:numFmt w:val="lowerRoman"/>
      <w:lvlText w:val="%1."/>
      <w:lvlJc w:val="right"/>
      <w:pPr>
        <w:widowControl/>
        <w:tabs>
          <w:tab w:val="left" w:pos="4328"/>
        </w:tabs>
        <w:spacing w:line="240" w:lineRule="auto"/>
        <w:ind w:left="4328" w:hanging="420"/>
        <w:textAlignment w:val="baseline"/>
      </w:pPr>
    </w:lvl>
  </w:abstractNum>
  <w:abstractNum w:abstractNumId="3">
    <w:nsid w:val="480812A7"/>
    <w:multiLevelType w:val="multilevel"/>
    <w:tmpl w:val="480812A7"/>
    <w:lvl w:ilvl="0" w:tentative="0">
      <w:start w:val="1"/>
      <w:numFmt w:val="japaneseCounting"/>
      <w:lvlText w:val="%1、"/>
      <w:lvlJc w:val="left"/>
      <w:pPr>
        <w:widowControl/>
        <w:tabs>
          <w:tab w:val="left" w:pos="720"/>
        </w:tabs>
        <w:spacing w:line="240" w:lineRule="auto"/>
        <w:ind w:left="720" w:hanging="720"/>
        <w:textAlignment w:val="baseline"/>
      </w:pPr>
      <w:rPr>
        <w:b/>
      </w:rPr>
    </w:lvl>
    <w:lvl w:ilvl="1" w:tentative="0">
      <w:start w:val="1"/>
      <w:numFmt w:val="decimal"/>
      <w:lvlText w:val="%1、"/>
      <w:lvlJc w:val="left"/>
      <w:pPr>
        <w:widowControl/>
        <w:tabs>
          <w:tab w:val="left" w:pos="1140"/>
        </w:tabs>
        <w:spacing w:line="240" w:lineRule="auto"/>
        <w:ind w:left="1140" w:hanging="720"/>
        <w:textAlignment w:val="baseline"/>
      </w:pPr>
    </w:lvl>
    <w:lvl w:ilvl="2" w:tentative="0">
      <w:start w:val="1"/>
      <w:numFmt w:val="lowerRoman"/>
      <w:lvlText w:val="%1."/>
      <w:lvlJc w:val="right"/>
      <w:pPr>
        <w:widowControl/>
        <w:tabs>
          <w:tab w:val="left" w:pos="1260"/>
        </w:tabs>
        <w:spacing w:line="240" w:lineRule="auto"/>
        <w:ind w:left="1260" w:hanging="420"/>
        <w:textAlignment w:val="baseline"/>
      </w:pPr>
    </w:lvl>
    <w:lvl w:ilvl="3" w:tentative="0">
      <w:start w:val="1"/>
      <w:numFmt w:val="decimal"/>
      <w:lvlText w:val="%1."/>
      <w:lvlJc w:val="left"/>
      <w:pPr>
        <w:widowControl/>
        <w:tabs>
          <w:tab w:val="left" w:pos="1680"/>
        </w:tabs>
        <w:spacing w:line="240" w:lineRule="auto"/>
        <w:ind w:left="1680" w:hanging="420"/>
        <w:textAlignment w:val="baseline"/>
      </w:pPr>
    </w:lvl>
    <w:lvl w:ilvl="4" w:tentative="0">
      <w:start w:val="1"/>
      <w:numFmt w:val="lowerLetter"/>
      <w:lvlText w:val="%1)"/>
      <w:lvlJc w:val="left"/>
      <w:pPr>
        <w:widowControl/>
        <w:tabs>
          <w:tab w:val="left" w:pos="2100"/>
        </w:tabs>
        <w:spacing w:line="240" w:lineRule="auto"/>
        <w:ind w:left="2100" w:hanging="420"/>
        <w:textAlignment w:val="baseline"/>
      </w:pPr>
    </w:lvl>
    <w:lvl w:ilvl="5" w:tentative="0">
      <w:start w:val="1"/>
      <w:numFmt w:val="lowerRoman"/>
      <w:lvlText w:val="%1."/>
      <w:lvlJc w:val="right"/>
      <w:pPr>
        <w:widowControl/>
        <w:tabs>
          <w:tab w:val="left" w:pos="2520"/>
        </w:tabs>
        <w:spacing w:line="240" w:lineRule="auto"/>
        <w:ind w:left="2520" w:hanging="420"/>
        <w:textAlignment w:val="baseline"/>
      </w:pPr>
    </w:lvl>
    <w:lvl w:ilvl="6" w:tentative="0">
      <w:start w:val="1"/>
      <w:numFmt w:val="decimal"/>
      <w:lvlText w:val="%1."/>
      <w:lvlJc w:val="left"/>
      <w:pPr>
        <w:widowControl/>
        <w:tabs>
          <w:tab w:val="left" w:pos="2940"/>
        </w:tabs>
        <w:spacing w:line="240" w:lineRule="auto"/>
        <w:ind w:left="2940" w:hanging="420"/>
        <w:textAlignment w:val="baseline"/>
      </w:pPr>
    </w:lvl>
    <w:lvl w:ilvl="7" w:tentative="0">
      <w:start w:val="1"/>
      <w:numFmt w:val="lowerLetter"/>
      <w:lvlText w:val="%1)"/>
      <w:lvlJc w:val="left"/>
      <w:pPr>
        <w:widowControl/>
        <w:tabs>
          <w:tab w:val="left" w:pos="3360"/>
        </w:tabs>
        <w:spacing w:line="240" w:lineRule="auto"/>
        <w:ind w:left="3360" w:hanging="420"/>
        <w:textAlignment w:val="baseline"/>
      </w:pPr>
    </w:lvl>
    <w:lvl w:ilvl="8" w:tentative="0">
      <w:start w:val="1"/>
      <w:numFmt w:val="lowerRoman"/>
      <w:lvlText w:val="%1."/>
      <w:lvlJc w:val="right"/>
      <w:pPr>
        <w:widowControl/>
        <w:tabs>
          <w:tab w:val="left" w:pos="3780"/>
        </w:tabs>
        <w:spacing w:line="240" w:lineRule="auto"/>
        <w:ind w:left="3780" w:hanging="420"/>
        <w:textAlignment w:val="baseline"/>
      </w:pPr>
    </w:lvl>
  </w:abstractNum>
  <w:abstractNum w:abstractNumId="4">
    <w:nsid w:val="59756D56"/>
    <w:multiLevelType w:val="singleLevel"/>
    <w:tmpl w:val="59756D56"/>
    <w:lvl w:ilvl="0" w:tentative="0">
      <w:start w:val="2"/>
      <w:numFmt w:val="decimal"/>
      <w:suff w:val="nothing"/>
      <w:lvlText w:val="%1."/>
      <w:lvlJc w:val="left"/>
      <w:pPr>
        <w:widowControl/>
        <w:spacing w:line="240" w:lineRule="auto"/>
        <w:textAlignment w:val="baseline"/>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doNotBreakWrappedTables/>
    <w:doNotWrapTextWithPunct/>
    <w:doNotUseEastAsianBreak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docVars>
    <w:docVar w:name="commondata" w:val="eyJoZGlkIjoiMmFhMjRiMTZlOGRjNjkzMzhkMTk1M2M4ZGQ3ODJkYjUifQ=="/>
  </w:docVars>
  <w:rsids>
    <w:rsidRoot w:val="00BF77F3"/>
    <w:rsid w:val="001807D6"/>
    <w:rsid w:val="001A00A6"/>
    <w:rsid w:val="0020577E"/>
    <w:rsid w:val="00242212"/>
    <w:rsid w:val="0026130D"/>
    <w:rsid w:val="00272FBF"/>
    <w:rsid w:val="002E68EB"/>
    <w:rsid w:val="00361B28"/>
    <w:rsid w:val="005755F5"/>
    <w:rsid w:val="007E0BE1"/>
    <w:rsid w:val="00BA090C"/>
    <w:rsid w:val="00BB60BF"/>
    <w:rsid w:val="00BF77F3"/>
    <w:rsid w:val="00EB78F9"/>
    <w:rsid w:val="00F12870"/>
    <w:rsid w:val="00F567FE"/>
    <w:rsid w:val="00F973DC"/>
    <w:rsid w:val="01C33716"/>
    <w:rsid w:val="02B7624C"/>
    <w:rsid w:val="05C018BB"/>
    <w:rsid w:val="05C0366A"/>
    <w:rsid w:val="05EA4B8A"/>
    <w:rsid w:val="074D757B"/>
    <w:rsid w:val="08E112E7"/>
    <w:rsid w:val="094E3682"/>
    <w:rsid w:val="0A310FDA"/>
    <w:rsid w:val="0A746D73"/>
    <w:rsid w:val="0AE95411"/>
    <w:rsid w:val="0B093FC6"/>
    <w:rsid w:val="0CC71781"/>
    <w:rsid w:val="0CE916F8"/>
    <w:rsid w:val="0DBE0DD6"/>
    <w:rsid w:val="0E107158"/>
    <w:rsid w:val="0F024CF3"/>
    <w:rsid w:val="0F087E2F"/>
    <w:rsid w:val="0F155300"/>
    <w:rsid w:val="106D4496"/>
    <w:rsid w:val="10756C61"/>
    <w:rsid w:val="10767E80"/>
    <w:rsid w:val="10E70644"/>
    <w:rsid w:val="10FE1357"/>
    <w:rsid w:val="11845272"/>
    <w:rsid w:val="13C609E5"/>
    <w:rsid w:val="13EB3FA7"/>
    <w:rsid w:val="14290F74"/>
    <w:rsid w:val="181F06C4"/>
    <w:rsid w:val="192D6A13"/>
    <w:rsid w:val="199D3F96"/>
    <w:rsid w:val="1C0641C8"/>
    <w:rsid w:val="1C1217E2"/>
    <w:rsid w:val="1D594678"/>
    <w:rsid w:val="1E8219AC"/>
    <w:rsid w:val="1ED614E4"/>
    <w:rsid w:val="1EEB2B95"/>
    <w:rsid w:val="21103460"/>
    <w:rsid w:val="22001566"/>
    <w:rsid w:val="22D24584"/>
    <w:rsid w:val="2322375E"/>
    <w:rsid w:val="23B44A8F"/>
    <w:rsid w:val="243472A5"/>
    <w:rsid w:val="26B04503"/>
    <w:rsid w:val="26EE57FF"/>
    <w:rsid w:val="272C4BAB"/>
    <w:rsid w:val="281F08C7"/>
    <w:rsid w:val="282C18BE"/>
    <w:rsid w:val="28D15A0A"/>
    <w:rsid w:val="28D63840"/>
    <w:rsid w:val="291E22D1"/>
    <w:rsid w:val="2B97636B"/>
    <w:rsid w:val="2C063C1D"/>
    <w:rsid w:val="2C3B29FE"/>
    <w:rsid w:val="2C701096"/>
    <w:rsid w:val="2D197980"/>
    <w:rsid w:val="2D6055AE"/>
    <w:rsid w:val="2DFD4BAB"/>
    <w:rsid w:val="2E1E63B7"/>
    <w:rsid w:val="2F1710EE"/>
    <w:rsid w:val="2F8C268B"/>
    <w:rsid w:val="325D030E"/>
    <w:rsid w:val="32601BAD"/>
    <w:rsid w:val="32D12D86"/>
    <w:rsid w:val="330864CC"/>
    <w:rsid w:val="340F388A"/>
    <w:rsid w:val="345D45F6"/>
    <w:rsid w:val="34C074C7"/>
    <w:rsid w:val="35B446E9"/>
    <w:rsid w:val="36863E9F"/>
    <w:rsid w:val="36AA33F6"/>
    <w:rsid w:val="36BD312A"/>
    <w:rsid w:val="372B36DE"/>
    <w:rsid w:val="377C4D93"/>
    <w:rsid w:val="391060DB"/>
    <w:rsid w:val="3AA7481D"/>
    <w:rsid w:val="3ADF16FA"/>
    <w:rsid w:val="3B4200A1"/>
    <w:rsid w:val="3CBB50F2"/>
    <w:rsid w:val="3D0F2205"/>
    <w:rsid w:val="3DE74F30"/>
    <w:rsid w:val="3EE841CC"/>
    <w:rsid w:val="4061546E"/>
    <w:rsid w:val="40B02BC7"/>
    <w:rsid w:val="416B7C26"/>
    <w:rsid w:val="42DA1507"/>
    <w:rsid w:val="435B43F6"/>
    <w:rsid w:val="44630EF1"/>
    <w:rsid w:val="44FC39B7"/>
    <w:rsid w:val="455C38AD"/>
    <w:rsid w:val="46113835"/>
    <w:rsid w:val="4642189D"/>
    <w:rsid w:val="469E6070"/>
    <w:rsid w:val="47B70069"/>
    <w:rsid w:val="47B9793D"/>
    <w:rsid w:val="47DC1C8A"/>
    <w:rsid w:val="48A95C04"/>
    <w:rsid w:val="49900B72"/>
    <w:rsid w:val="4A840CEE"/>
    <w:rsid w:val="4B457951"/>
    <w:rsid w:val="4BC11CC2"/>
    <w:rsid w:val="4C092256"/>
    <w:rsid w:val="4C0A4C0B"/>
    <w:rsid w:val="4C612351"/>
    <w:rsid w:val="4C806C7C"/>
    <w:rsid w:val="4D9076A5"/>
    <w:rsid w:val="4D91563E"/>
    <w:rsid w:val="4DBE3441"/>
    <w:rsid w:val="4DFD0AC9"/>
    <w:rsid w:val="4E5E4D9B"/>
    <w:rsid w:val="4ECC264C"/>
    <w:rsid w:val="4F844CD5"/>
    <w:rsid w:val="4F8944DC"/>
    <w:rsid w:val="4FD07F1A"/>
    <w:rsid w:val="4FE37C4D"/>
    <w:rsid w:val="514C35D0"/>
    <w:rsid w:val="51EA2E1D"/>
    <w:rsid w:val="52021439"/>
    <w:rsid w:val="526D1A50"/>
    <w:rsid w:val="55766E6E"/>
    <w:rsid w:val="55780E38"/>
    <w:rsid w:val="563C1E65"/>
    <w:rsid w:val="574C1767"/>
    <w:rsid w:val="574F3E1A"/>
    <w:rsid w:val="57996E43"/>
    <w:rsid w:val="581806B0"/>
    <w:rsid w:val="5A0E4D9F"/>
    <w:rsid w:val="5A2E41BB"/>
    <w:rsid w:val="5A7C6C44"/>
    <w:rsid w:val="5A89319F"/>
    <w:rsid w:val="5AFA11D0"/>
    <w:rsid w:val="5BDD7C46"/>
    <w:rsid w:val="5C80618B"/>
    <w:rsid w:val="5D637830"/>
    <w:rsid w:val="5DE0757A"/>
    <w:rsid w:val="5E912F6A"/>
    <w:rsid w:val="5F117C07"/>
    <w:rsid w:val="5F5226F9"/>
    <w:rsid w:val="62465BC5"/>
    <w:rsid w:val="63901A42"/>
    <w:rsid w:val="63AD6150"/>
    <w:rsid w:val="63DD455C"/>
    <w:rsid w:val="648A46E4"/>
    <w:rsid w:val="64D8544F"/>
    <w:rsid w:val="64DF4A2F"/>
    <w:rsid w:val="65BB267B"/>
    <w:rsid w:val="6700381D"/>
    <w:rsid w:val="670A1B0C"/>
    <w:rsid w:val="680447AD"/>
    <w:rsid w:val="682E35D8"/>
    <w:rsid w:val="689E0B8D"/>
    <w:rsid w:val="69252C2D"/>
    <w:rsid w:val="697D65C5"/>
    <w:rsid w:val="6A7774B8"/>
    <w:rsid w:val="6B121EF2"/>
    <w:rsid w:val="6B882FFF"/>
    <w:rsid w:val="6C156F89"/>
    <w:rsid w:val="6D611D5A"/>
    <w:rsid w:val="6E5A6ED5"/>
    <w:rsid w:val="6F2C5DFC"/>
    <w:rsid w:val="6F316A46"/>
    <w:rsid w:val="6F375468"/>
    <w:rsid w:val="70881B2B"/>
    <w:rsid w:val="71EC5FD4"/>
    <w:rsid w:val="72CB7012"/>
    <w:rsid w:val="72D336FA"/>
    <w:rsid w:val="74401C0A"/>
    <w:rsid w:val="74731206"/>
    <w:rsid w:val="74C2520B"/>
    <w:rsid w:val="74D75FB2"/>
    <w:rsid w:val="751F182B"/>
    <w:rsid w:val="760A11E0"/>
    <w:rsid w:val="78372D40"/>
    <w:rsid w:val="792471BC"/>
    <w:rsid w:val="7DAC5273"/>
    <w:rsid w:val="7E22523F"/>
    <w:rsid w:val="7E2C3CBE"/>
    <w:rsid w:val="7E486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21"/>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2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Autospacing="1" w:afterAutospacing="1"/>
      <w:jc w:val="left"/>
    </w:pPr>
    <w:rPr>
      <w:kern w:val="0"/>
      <w:sz w:val="24"/>
    </w:rPr>
  </w:style>
  <w:style w:type="character" w:styleId="7">
    <w:name w:val="Hyperlink"/>
    <w:basedOn w:val="6"/>
    <w:semiHidden/>
    <w:unhideWhenUsed/>
    <w:qFormat/>
    <w:uiPriority w:val="99"/>
    <w:rPr>
      <w:color w:val="0000FF"/>
      <w:u w:val="single"/>
    </w:rPr>
  </w:style>
  <w:style w:type="paragraph" w:customStyle="1" w:styleId="8">
    <w:name w:val="Heading1"/>
    <w:basedOn w:val="1"/>
    <w:next w:val="1"/>
    <w:autoRedefine/>
    <w:qFormat/>
    <w:uiPriority w:val="0"/>
    <w:pPr>
      <w:keepNext/>
    </w:pPr>
    <w:rPr>
      <w:sz w:val="28"/>
    </w:rPr>
  </w:style>
  <w:style w:type="character" w:customStyle="1" w:styleId="9">
    <w:name w:val="NormalCharacter"/>
    <w:autoRedefine/>
    <w:semiHidden/>
    <w:qFormat/>
    <w:uiPriority w:val="0"/>
  </w:style>
  <w:style w:type="table" w:customStyle="1" w:styleId="10">
    <w:name w:val="TableNormal"/>
    <w:autoRedefine/>
    <w:semiHidden/>
    <w:qFormat/>
    <w:uiPriority w:val="0"/>
    <w:tblPr>
      <w:tblCellMar>
        <w:top w:w="0" w:type="dxa"/>
        <w:left w:w="0" w:type="dxa"/>
        <w:bottom w:w="0" w:type="dxa"/>
        <w:right w:w="0" w:type="dxa"/>
      </w:tblCellMar>
    </w:tblPr>
  </w:style>
  <w:style w:type="character" w:customStyle="1" w:styleId="11">
    <w:name w:val="PageNumber"/>
    <w:basedOn w:val="9"/>
    <w:autoRedefine/>
    <w:qFormat/>
    <w:uiPriority w:val="0"/>
  </w:style>
  <w:style w:type="paragraph" w:customStyle="1" w:styleId="12">
    <w:name w:val="BodyText"/>
    <w:basedOn w:val="1"/>
    <w:autoRedefine/>
    <w:qFormat/>
    <w:uiPriority w:val="0"/>
    <w:pPr>
      <w:jc w:val="center"/>
    </w:pPr>
    <w:rPr>
      <w:b/>
      <w:bCs/>
      <w:sz w:val="32"/>
    </w:rPr>
  </w:style>
  <w:style w:type="paragraph" w:customStyle="1" w:styleId="13">
    <w:name w:val="Acetate"/>
    <w:basedOn w:val="1"/>
    <w:autoRedefine/>
    <w:semiHidden/>
    <w:qFormat/>
    <w:uiPriority w:val="0"/>
    <w:rPr>
      <w:sz w:val="18"/>
      <w:szCs w:val="18"/>
    </w:rPr>
  </w:style>
  <w:style w:type="paragraph" w:customStyle="1" w:styleId="14">
    <w:name w:val="UserStyle_0"/>
    <w:basedOn w:val="1"/>
    <w:autoRedefine/>
    <w:qFormat/>
    <w:uiPriority w:val="0"/>
    <w:pPr>
      <w:ind w:firstLine="420" w:firstLineChars="200"/>
    </w:pPr>
    <w:rPr>
      <w:rFonts w:ascii="等线" w:hAnsi="等线"/>
    </w:rPr>
  </w:style>
  <w:style w:type="paragraph" w:customStyle="1" w:styleId="15">
    <w:name w:val="页眉1"/>
    <w:basedOn w:val="1"/>
    <w:autoRedefine/>
    <w:qFormat/>
    <w:uiPriority w:val="0"/>
    <w:pPr>
      <w:pBdr>
        <w:bottom w:val="single" w:color="000000" w:sz="6" w:space="1"/>
      </w:pBdr>
      <w:tabs>
        <w:tab w:val="center" w:pos="4153"/>
        <w:tab w:val="right" w:pos="8306"/>
      </w:tabs>
      <w:snapToGrid w:val="0"/>
      <w:jc w:val="center"/>
    </w:pPr>
    <w:rPr>
      <w:sz w:val="18"/>
      <w:szCs w:val="18"/>
    </w:rPr>
  </w:style>
  <w:style w:type="paragraph" w:customStyle="1" w:styleId="16">
    <w:name w:val="页脚1"/>
    <w:basedOn w:val="1"/>
    <w:autoRedefine/>
    <w:qFormat/>
    <w:uiPriority w:val="0"/>
    <w:pPr>
      <w:tabs>
        <w:tab w:val="center" w:pos="4153"/>
        <w:tab w:val="right" w:pos="8306"/>
      </w:tabs>
      <w:snapToGrid w:val="0"/>
      <w:jc w:val="left"/>
    </w:pPr>
    <w:rPr>
      <w:sz w:val="18"/>
      <w:szCs w:val="18"/>
    </w:rPr>
  </w:style>
  <w:style w:type="paragraph" w:customStyle="1" w:styleId="17">
    <w:name w:val="UserStyle_1"/>
    <w:basedOn w:val="1"/>
    <w:autoRedefine/>
    <w:qFormat/>
    <w:uiPriority w:val="0"/>
    <w:rPr>
      <w:rFonts w:ascii="Tahoma" w:hAnsi="Tahoma"/>
      <w:sz w:val="24"/>
      <w:szCs w:val="20"/>
    </w:rPr>
  </w:style>
  <w:style w:type="paragraph" w:customStyle="1" w:styleId="18">
    <w:name w:val="UserStyle_2"/>
    <w:basedOn w:val="1"/>
    <w:autoRedefine/>
    <w:qFormat/>
    <w:uiPriority w:val="0"/>
    <w:pPr>
      <w:spacing w:line="240" w:lineRule="atLeast"/>
      <w:ind w:left="420" w:firstLine="420"/>
    </w:pPr>
    <w:rPr>
      <w:szCs w:val="20"/>
    </w:rPr>
  </w:style>
  <w:style w:type="table" w:customStyle="1" w:styleId="19">
    <w:name w:val="TableGrid"/>
    <w:basedOn w:val="10"/>
    <w:autoRedefine/>
    <w:qFormat/>
    <w:uiPriority w:val="0"/>
    <w:tblPr>
      <w:tblCellMar>
        <w:top w:w="0" w:type="dxa"/>
        <w:left w:w="0" w:type="dxa"/>
        <w:bottom w:w="0" w:type="dxa"/>
        <w:right w:w="0" w:type="dxa"/>
      </w:tblCellMar>
    </w:tblPr>
  </w:style>
  <w:style w:type="character" w:customStyle="1" w:styleId="20">
    <w:name w:val="页眉 Char"/>
    <w:basedOn w:val="6"/>
    <w:link w:val="3"/>
    <w:autoRedefine/>
    <w:semiHidden/>
    <w:qFormat/>
    <w:uiPriority w:val="99"/>
    <w:rPr>
      <w:kern w:val="2"/>
      <w:sz w:val="18"/>
      <w:szCs w:val="18"/>
    </w:rPr>
  </w:style>
  <w:style w:type="character" w:customStyle="1" w:styleId="21">
    <w:name w:val="页脚 Char"/>
    <w:basedOn w:val="6"/>
    <w:link w:val="2"/>
    <w:autoRedefine/>
    <w:semiHidden/>
    <w:qFormat/>
    <w:uiPriority w:val="99"/>
    <w:rPr>
      <w:kern w:val="2"/>
      <w:sz w:val="18"/>
      <w:szCs w:val="18"/>
    </w:rPr>
  </w:style>
  <w:style w:type="paragraph" w:styleId="22">
    <w:name w:val="List Paragraph"/>
    <w:basedOn w:val="1"/>
    <w:autoRedefine/>
    <w:qFormat/>
    <w:uiPriority w:val="34"/>
    <w:pPr>
      <w:adjustRightInd w:val="0"/>
      <w:snapToGrid w:val="0"/>
      <w:spacing w:after="200"/>
      <w:ind w:firstLine="420" w:firstLineChars="200"/>
      <w:jc w:val="left"/>
      <w:textAlignment w:val="auto"/>
    </w:pPr>
    <w:rPr>
      <w:rFonts w:ascii="Tahoma" w:hAnsi="Tahoma" w:eastAsia="微软雅黑" w:cstheme="minorBidi"/>
      <w:kern w:val="0"/>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2058</Words>
  <Characters>2486</Characters>
  <Lines>37</Lines>
  <Paragraphs>10</Paragraphs>
  <TotalTime>40</TotalTime>
  <ScaleCrop>false</ScaleCrop>
  <LinksUpToDate>false</LinksUpToDate>
  <CharactersWithSpaces>2499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2019-11-09T11:29:00Z</dcterms:created>
  <dc:creator>Administrator</dc:creator>
  <cp:lastModifiedBy>Administrator</cp:lastModifiedBy>
  <cp:lastPrinted>2019-11-11T11:00:00Z</cp:lastPrinted>
  <dcterms:modified xsi:type="dcterms:W3CDTF">2024-05-27T02:39:18Z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A1DE6578835E4F1B9B95540F40132E84</vt:lpwstr>
  </property>
</Properties>
</file>